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C0ECB" w14:textId="77777777" w:rsidR="00F77AE4" w:rsidRDefault="00F77AE4" w:rsidP="00F77AE4">
      <w:pPr>
        <w:spacing w:after="0" w:line="240" w:lineRule="auto"/>
        <w:jc w:val="both"/>
        <w:rPr>
          <w:rFonts w:ascii="Arial" w:eastAsia="Calibri" w:hAnsi="Arial" w:cs="Arial"/>
          <w:sz w:val="40"/>
          <w:szCs w:val="40"/>
          <w:lang w:val="en-US"/>
        </w:rPr>
      </w:pPr>
      <w:bookmarkStart w:id="0" w:name="_GoBack"/>
      <w:bookmarkEnd w:id="0"/>
    </w:p>
    <w:p w14:paraId="4695AAAD" w14:textId="77777777" w:rsidR="00F77AE4" w:rsidRDefault="00F77AE4" w:rsidP="00F77AE4">
      <w:pPr>
        <w:spacing w:after="0" w:line="240" w:lineRule="auto"/>
        <w:jc w:val="both"/>
        <w:rPr>
          <w:rFonts w:ascii="Arial" w:eastAsia="Calibri" w:hAnsi="Arial" w:cs="Arial"/>
          <w:sz w:val="40"/>
          <w:szCs w:val="40"/>
          <w:lang w:val="en-US"/>
        </w:rPr>
      </w:pPr>
    </w:p>
    <w:p w14:paraId="18856299" w14:textId="04A5B0A6" w:rsidR="00F77AE4" w:rsidRDefault="0053160D" w:rsidP="00F77AE4">
      <w:pPr>
        <w:spacing w:after="0" w:line="240" w:lineRule="auto"/>
        <w:jc w:val="both"/>
        <w:rPr>
          <w:rFonts w:ascii="Arial" w:eastAsia="Calibri" w:hAnsi="Arial" w:cs="Arial"/>
          <w:sz w:val="40"/>
          <w:szCs w:val="40"/>
          <w:lang w:val="en-US"/>
        </w:rPr>
      </w:pPr>
      <w:r>
        <w:rPr>
          <w:rFonts w:ascii="Arial" w:hAnsi="Arial" w:cs="Arial"/>
          <w:noProof/>
          <w:lang w:eastAsia="en-GB"/>
        </w:rPr>
        <w:drawing>
          <wp:anchor distT="0" distB="0" distL="114300" distR="114300" simplePos="0" relativeHeight="251659264" behindDoc="1" locked="0" layoutInCell="1" allowOverlap="1" wp14:anchorId="63767877" wp14:editId="0A0A60C5">
            <wp:simplePos x="0" y="0"/>
            <wp:positionH relativeFrom="margin">
              <wp:align>left</wp:align>
            </wp:positionH>
            <wp:positionV relativeFrom="paragraph">
              <wp:posOffset>292100</wp:posOffset>
            </wp:positionV>
            <wp:extent cx="3009900" cy="883920"/>
            <wp:effectExtent l="0" t="0" r="0" b="0"/>
            <wp:wrapTight wrapText="bothSides">
              <wp:wrapPolygon edited="0">
                <wp:start x="0" y="0"/>
                <wp:lineTo x="0" y="20948"/>
                <wp:lineTo x="21463" y="20948"/>
                <wp:lineTo x="214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colleg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883920"/>
                    </a:xfrm>
                    <a:prstGeom prst="rect">
                      <a:avLst/>
                    </a:prstGeom>
                  </pic:spPr>
                </pic:pic>
              </a:graphicData>
            </a:graphic>
            <wp14:sizeRelH relativeFrom="margin">
              <wp14:pctWidth>0</wp14:pctWidth>
            </wp14:sizeRelH>
            <wp14:sizeRelV relativeFrom="margin">
              <wp14:pctHeight>0</wp14:pctHeight>
            </wp14:sizeRelV>
          </wp:anchor>
        </w:drawing>
      </w:r>
    </w:p>
    <w:p w14:paraId="3062F1A8" w14:textId="77777777" w:rsidR="00F77AE4" w:rsidRDefault="00F77AE4" w:rsidP="00F77AE4">
      <w:pPr>
        <w:spacing w:after="0" w:line="240" w:lineRule="auto"/>
        <w:jc w:val="both"/>
        <w:rPr>
          <w:rFonts w:ascii="Arial" w:eastAsia="Calibri" w:hAnsi="Arial" w:cs="Arial"/>
          <w:sz w:val="40"/>
          <w:szCs w:val="40"/>
          <w:lang w:val="en-US"/>
        </w:rPr>
      </w:pPr>
    </w:p>
    <w:p w14:paraId="20795E4A" w14:textId="77777777" w:rsidR="0053160D" w:rsidRDefault="0053160D" w:rsidP="00F77AE4">
      <w:pPr>
        <w:spacing w:after="0" w:line="240" w:lineRule="auto"/>
        <w:jc w:val="both"/>
        <w:rPr>
          <w:rFonts w:ascii="Arial" w:eastAsia="Calibri" w:hAnsi="Arial" w:cs="Arial"/>
          <w:sz w:val="40"/>
          <w:szCs w:val="40"/>
          <w:lang w:val="en-US"/>
        </w:rPr>
      </w:pPr>
    </w:p>
    <w:p w14:paraId="3B14B56D" w14:textId="77777777" w:rsidR="0053160D" w:rsidRDefault="0053160D" w:rsidP="00F77AE4">
      <w:pPr>
        <w:spacing w:after="0" w:line="240" w:lineRule="auto"/>
        <w:jc w:val="both"/>
        <w:rPr>
          <w:rFonts w:ascii="Arial" w:eastAsia="Calibri" w:hAnsi="Arial" w:cs="Arial"/>
          <w:sz w:val="40"/>
          <w:szCs w:val="40"/>
          <w:lang w:val="en-US"/>
        </w:rPr>
      </w:pPr>
    </w:p>
    <w:p w14:paraId="7E30B16A" w14:textId="77777777" w:rsidR="0053160D" w:rsidRDefault="0053160D" w:rsidP="00F77AE4">
      <w:pPr>
        <w:spacing w:after="0" w:line="240" w:lineRule="auto"/>
        <w:jc w:val="both"/>
        <w:rPr>
          <w:rFonts w:ascii="Arial" w:eastAsia="Calibri" w:hAnsi="Arial" w:cs="Arial"/>
          <w:sz w:val="40"/>
          <w:szCs w:val="40"/>
          <w:lang w:val="en-US"/>
        </w:rPr>
      </w:pPr>
    </w:p>
    <w:p w14:paraId="50D2D0A0" w14:textId="77777777" w:rsidR="0053160D" w:rsidRDefault="0053160D" w:rsidP="00F77AE4">
      <w:pPr>
        <w:spacing w:after="0" w:line="240" w:lineRule="auto"/>
        <w:jc w:val="both"/>
        <w:rPr>
          <w:rFonts w:ascii="Arial" w:eastAsia="Calibri" w:hAnsi="Arial" w:cs="Arial"/>
          <w:sz w:val="40"/>
          <w:szCs w:val="40"/>
          <w:lang w:val="en-US"/>
        </w:rPr>
      </w:pPr>
    </w:p>
    <w:p w14:paraId="6F604D23" w14:textId="2D1319D5" w:rsidR="00F77AE4" w:rsidRPr="00590E3F" w:rsidRDefault="00F77AE4" w:rsidP="00F77AE4">
      <w:pPr>
        <w:spacing w:after="0" w:line="240" w:lineRule="auto"/>
        <w:jc w:val="both"/>
        <w:rPr>
          <w:rFonts w:ascii="Arial" w:eastAsia="Calibri" w:hAnsi="Arial" w:cs="Arial"/>
          <w:sz w:val="40"/>
          <w:szCs w:val="40"/>
          <w:lang w:val="en-US"/>
        </w:rPr>
      </w:pPr>
      <w:r w:rsidRPr="00590E3F">
        <w:rPr>
          <w:rFonts w:ascii="Arial" w:eastAsia="Calibri" w:hAnsi="Arial" w:cs="Arial"/>
          <w:sz w:val="40"/>
          <w:szCs w:val="40"/>
          <w:lang w:val="en-US"/>
        </w:rPr>
        <w:t>North Highland College UHI</w:t>
      </w:r>
    </w:p>
    <w:p w14:paraId="5C7C2C4D" w14:textId="77777777" w:rsidR="00F77AE4" w:rsidRPr="00590E3F" w:rsidRDefault="00F77AE4" w:rsidP="00F77AE4">
      <w:pPr>
        <w:spacing w:after="0" w:line="240" w:lineRule="auto"/>
        <w:jc w:val="both"/>
        <w:rPr>
          <w:rFonts w:ascii="Calibri" w:eastAsia="Calibri" w:hAnsi="Calibri" w:cs="Times New Roman"/>
          <w:sz w:val="40"/>
          <w:szCs w:val="40"/>
          <w:lang w:val="en-US"/>
        </w:rPr>
      </w:pPr>
    </w:p>
    <w:p w14:paraId="62F7D938" w14:textId="559680C5" w:rsidR="000B4447" w:rsidRPr="00590E3F" w:rsidRDefault="00CA71AC" w:rsidP="00F77AE4">
      <w:pPr>
        <w:spacing w:after="0" w:line="240" w:lineRule="auto"/>
        <w:rPr>
          <w:rFonts w:ascii="Arial" w:eastAsia="Calibri" w:hAnsi="Arial" w:cs="Arial"/>
          <w:sz w:val="72"/>
          <w:szCs w:val="72"/>
          <w:lang w:val="en-US"/>
        </w:rPr>
      </w:pPr>
      <w:r>
        <w:rPr>
          <w:rFonts w:ascii="Arial" w:eastAsia="Calibri" w:hAnsi="Arial" w:cs="Arial"/>
          <w:sz w:val="72"/>
          <w:szCs w:val="72"/>
          <w:lang w:val="en-US"/>
        </w:rPr>
        <w:t>Outcome Agreement Self-Evaluation Report -</w:t>
      </w:r>
      <w:r w:rsidR="000B4447">
        <w:rPr>
          <w:rFonts w:ascii="Arial" w:eastAsia="Calibri" w:hAnsi="Arial" w:cs="Arial"/>
          <w:sz w:val="72"/>
          <w:szCs w:val="72"/>
          <w:lang w:val="en-US"/>
        </w:rPr>
        <w:t xml:space="preserve"> 2018-19</w:t>
      </w:r>
    </w:p>
    <w:p w14:paraId="3357D655" w14:textId="77777777" w:rsidR="00F77AE4" w:rsidRPr="00590E3F" w:rsidRDefault="00F77AE4" w:rsidP="00F77AE4">
      <w:pPr>
        <w:spacing w:after="0" w:line="240" w:lineRule="auto"/>
        <w:jc w:val="both"/>
        <w:rPr>
          <w:rFonts w:ascii="Calibri" w:eastAsia="Calibri" w:hAnsi="Calibri" w:cs="Times New Roman"/>
          <w:lang w:val="en-US"/>
        </w:rPr>
      </w:pPr>
    </w:p>
    <w:p w14:paraId="4BC65BC3" w14:textId="77777777" w:rsidR="00F77AE4" w:rsidRPr="00590E3F" w:rsidRDefault="00F77AE4" w:rsidP="00F77AE4">
      <w:pPr>
        <w:spacing w:after="0" w:line="240" w:lineRule="auto"/>
        <w:jc w:val="both"/>
        <w:rPr>
          <w:rFonts w:ascii="Calibri" w:eastAsia="Calibri" w:hAnsi="Calibri" w:cs="Times New Roman"/>
          <w:lang w:val="en-US"/>
        </w:rPr>
      </w:pPr>
    </w:p>
    <w:p w14:paraId="13BB1C5D" w14:textId="77777777" w:rsidR="00F77AE4" w:rsidRPr="00590E3F" w:rsidRDefault="00F77AE4" w:rsidP="00F77AE4">
      <w:pPr>
        <w:spacing w:after="0" w:line="240" w:lineRule="auto"/>
        <w:jc w:val="both"/>
        <w:rPr>
          <w:rFonts w:ascii="Calibri" w:eastAsia="Calibri" w:hAnsi="Calibri" w:cs="Times New Roman"/>
          <w:lang w:val="en-US"/>
        </w:rPr>
      </w:pPr>
    </w:p>
    <w:p w14:paraId="17A2FC49" w14:textId="731827EB" w:rsidR="00F77AE4" w:rsidRDefault="00F77AE4" w:rsidP="00023460">
      <w:pPr>
        <w:rPr>
          <w:rFonts w:ascii="Arial" w:hAnsi="Arial" w:cs="Arial"/>
          <w:b/>
          <w:sz w:val="32"/>
          <w:szCs w:val="32"/>
        </w:rPr>
      </w:pPr>
      <w:r>
        <w:rPr>
          <w:rFonts w:ascii="Arial" w:hAnsi="Arial" w:cs="Arial"/>
          <w:b/>
          <w:sz w:val="32"/>
          <w:szCs w:val="32"/>
        </w:rPr>
        <w:t>October 201</w:t>
      </w:r>
      <w:r w:rsidR="000B4447">
        <w:rPr>
          <w:rFonts w:ascii="Arial" w:hAnsi="Arial" w:cs="Arial"/>
          <w:b/>
          <w:sz w:val="32"/>
          <w:szCs w:val="32"/>
        </w:rPr>
        <w:t>9</w:t>
      </w:r>
    </w:p>
    <w:p w14:paraId="76E6F990" w14:textId="77777777" w:rsidR="00F77AE4" w:rsidRDefault="00F77AE4" w:rsidP="00023460">
      <w:pPr>
        <w:spacing w:after="0"/>
        <w:rPr>
          <w:rFonts w:ascii="Calibri" w:hAnsi="Calibri" w:cs="Calibri"/>
          <w:b/>
          <w:bCs/>
          <w:color w:val="000000"/>
          <w:sz w:val="28"/>
          <w:szCs w:val="24"/>
        </w:rPr>
      </w:pPr>
      <w:r>
        <w:rPr>
          <w:b/>
          <w:bCs/>
          <w:sz w:val="28"/>
        </w:rPr>
        <w:br w:type="page"/>
      </w:r>
    </w:p>
    <w:p w14:paraId="19C6F7FB" w14:textId="77777777" w:rsidR="00023460" w:rsidRPr="00023460" w:rsidRDefault="00023460" w:rsidP="00023460">
      <w:pPr>
        <w:spacing w:after="0"/>
        <w:rPr>
          <w:rFonts w:ascii="Arial" w:hAnsi="Arial" w:cs="Arial"/>
          <w:b/>
          <w:bCs/>
          <w:i/>
          <w:iCs/>
          <w:sz w:val="20"/>
          <w:szCs w:val="20"/>
        </w:rPr>
      </w:pPr>
      <w:r w:rsidRPr="00023460">
        <w:rPr>
          <w:rFonts w:ascii="Arial" w:hAnsi="Arial" w:cs="Arial"/>
          <w:b/>
          <w:bCs/>
          <w:i/>
          <w:iCs/>
          <w:sz w:val="20"/>
          <w:szCs w:val="20"/>
        </w:rPr>
        <w:lastRenderedPageBreak/>
        <w:t>Recruitment</w:t>
      </w:r>
    </w:p>
    <w:p w14:paraId="0124285C" w14:textId="77777777" w:rsidR="00023460" w:rsidRPr="00023460" w:rsidRDefault="00023460" w:rsidP="00023460">
      <w:pPr>
        <w:spacing w:after="0"/>
        <w:rPr>
          <w:rFonts w:ascii="Arial" w:hAnsi="Arial" w:cs="Arial"/>
          <w:sz w:val="20"/>
          <w:szCs w:val="20"/>
        </w:rPr>
      </w:pPr>
    </w:p>
    <w:p w14:paraId="632D1288" w14:textId="679E9B26" w:rsidR="00023460" w:rsidRPr="00023460" w:rsidRDefault="00023460" w:rsidP="00023460">
      <w:pPr>
        <w:spacing w:after="0"/>
        <w:rPr>
          <w:rFonts w:ascii="Arial" w:hAnsi="Arial" w:cs="Arial"/>
          <w:sz w:val="20"/>
          <w:szCs w:val="20"/>
        </w:rPr>
      </w:pPr>
      <w:r w:rsidRPr="00023460">
        <w:rPr>
          <w:rFonts w:ascii="Arial" w:eastAsia="Calibri" w:hAnsi="Arial" w:cs="Arial"/>
          <w:sz w:val="20"/>
          <w:szCs w:val="20"/>
        </w:rPr>
        <w:t xml:space="preserve">The College worked closely with regional partner colleges to implement and monitor local and regional strategies to successfully achieve regional recruitment targets.  The College’s performance in recruiting students on our Further Education courses, by achieving both Core and additional ESIF-funded student credit targets, contributed to this positive outcome.  The college success </w:t>
      </w:r>
      <w:r w:rsidRPr="00023460">
        <w:rPr>
          <w:rFonts w:ascii="Arial" w:hAnsi="Arial" w:cs="Arial"/>
          <w:sz w:val="20"/>
          <w:szCs w:val="20"/>
        </w:rPr>
        <w:t xml:space="preserve">was due to increased part time opportunities, including those for </w:t>
      </w:r>
      <w:r w:rsidR="0053160D" w:rsidRPr="00023460">
        <w:rPr>
          <w:rFonts w:ascii="Arial" w:hAnsi="Arial" w:cs="Arial"/>
          <w:sz w:val="20"/>
          <w:szCs w:val="20"/>
        </w:rPr>
        <w:t>school-based</w:t>
      </w:r>
      <w:r w:rsidRPr="00023460">
        <w:rPr>
          <w:rFonts w:ascii="Arial" w:hAnsi="Arial" w:cs="Arial"/>
          <w:sz w:val="20"/>
          <w:szCs w:val="20"/>
        </w:rPr>
        <w:t xml:space="preserve"> learners, given the drop in FT recruitment being experienced in both FE and HE.  </w:t>
      </w:r>
    </w:p>
    <w:p w14:paraId="532CE5B1" w14:textId="77777777" w:rsidR="00023460" w:rsidRPr="00023460" w:rsidRDefault="00023460" w:rsidP="00023460">
      <w:pPr>
        <w:spacing w:after="0"/>
        <w:rPr>
          <w:rFonts w:ascii="Arial" w:hAnsi="Arial" w:cs="Arial"/>
          <w:sz w:val="20"/>
          <w:szCs w:val="20"/>
        </w:rPr>
      </w:pPr>
    </w:p>
    <w:p w14:paraId="7C748705" w14:textId="3F4E3F49" w:rsidR="00023460" w:rsidRPr="00023460" w:rsidRDefault="0053160D" w:rsidP="00023460">
      <w:pPr>
        <w:spacing w:after="0"/>
        <w:jc w:val="both"/>
        <w:rPr>
          <w:rFonts w:ascii="Arial" w:hAnsi="Arial" w:cs="Arial"/>
          <w:color w:val="FF0000"/>
          <w:sz w:val="20"/>
          <w:szCs w:val="20"/>
        </w:rPr>
      </w:pPr>
      <w:r>
        <w:rPr>
          <w:rFonts w:ascii="Arial" w:eastAsia="Calibri" w:hAnsi="Arial" w:cs="Arial"/>
          <w:sz w:val="20"/>
          <w:szCs w:val="20"/>
        </w:rPr>
        <w:t xml:space="preserve">Significant focus continued in </w:t>
      </w:r>
      <w:r w:rsidR="00023460" w:rsidRPr="00023460">
        <w:rPr>
          <w:rFonts w:ascii="Arial" w:eastAsia="Calibri" w:hAnsi="Arial" w:cs="Arial"/>
          <w:sz w:val="20"/>
          <w:szCs w:val="20"/>
        </w:rPr>
        <w:t>the further implementation of Developing the Young Workforce: Scotland’s Youth Employment Strategy, by working in partnership with schools, employers and the local DYW board.  This resulted in further increases in the number of credits delivered to senior phase learners studying vocational qualifications and to S3 learners and above as part of school -college provision</w:t>
      </w:r>
      <w:r w:rsidR="00A32EFC">
        <w:rPr>
          <w:rFonts w:ascii="Arial" w:eastAsia="Calibri" w:hAnsi="Arial" w:cs="Arial"/>
          <w:sz w:val="20"/>
          <w:szCs w:val="20"/>
        </w:rPr>
        <w:t>,</w:t>
      </w:r>
      <w:r w:rsidR="00023460" w:rsidRPr="00023460">
        <w:rPr>
          <w:rFonts w:ascii="Arial" w:eastAsia="Calibri" w:hAnsi="Arial" w:cs="Arial"/>
          <w:sz w:val="20"/>
          <w:szCs w:val="20"/>
        </w:rPr>
        <w:t xml:space="preserve"> which sit at levels much greater than the regional and sector averages.</w:t>
      </w:r>
      <w:r w:rsidR="00A32EFC">
        <w:rPr>
          <w:rFonts w:ascii="Arial" w:eastAsia="Calibri" w:hAnsi="Arial" w:cs="Arial"/>
          <w:sz w:val="20"/>
          <w:szCs w:val="20"/>
        </w:rPr>
        <w:t xml:space="preserve"> </w:t>
      </w:r>
      <w:r w:rsidR="00023460" w:rsidRPr="00023460">
        <w:rPr>
          <w:rFonts w:ascii="Arial" w:eastAsia="Calibri" w:hAnsi="Arial" w:cs="Arial"/>
          <w:sz w:val="20"/>
          <w:szCs w:val="20"/>
        </w:rPr>
        <w:t xml:space="preserve"> The College has worked in partnership with West Highland and Inverness Colleges and local authority and SDS representatives to develop a Highland Council Regional </w:t>
      </w:r>
      <w:r>
        <w:rPr>
          <w:rFonts w:ascii="Arial" w:eastAsia="Calibri" w:hAnsi="Arial" w:cs="Arial"/>
          <w:sz w:val="20"/>
          <w:szCs w:val="20"/>
        </w:rPr>
        <w:t>S</w:t>
      </w:r>
      <w:r w:rsidR="00023460" w:rsidRPr="00023460">
        <w:rPr>
          <w:rFonts w:ascii="Arial" w:eastAsia="Calibri" w:hAnsi="Arial" w:cs="Arial"/>
          <w:sz w:val="20"/>
          <w:szCs w:val="20"/>
        </w:rPr>
        <w:t xml:space="preserve">chool </w:t>
      </w:r>
      <w:r>
        <w:rPr>
          <w:rFonts w:ascii="Arial" w:eastAsia="Calibri" w:hAnsi="Arial" w:cs="Arial"/>
          <w:sz w:val="20"/>
          <w:szCs w:val="20"/>
        </w:rPr>
        <w:t>S</w:t>
      </w:r>
      <w:r w:rsidR="00023460" w:rsidRPr="00023460">
        <w:rPr>
          <w:rFonts w:ascii="Arial" w:eastAsia="Calibri" w:hAnsi="Arial" w:cs="Arial"/>
          <w:sz w:val="20"/>
          <w:szCs w:val="20"/>
        </w:rPr>
        <w:t>trategy to develop learning pathways and further extend access to our Senior phase provision to local and regional schools by increasing flexible/virtual learning opportunities.</w:t>
      </w:r>
    </w:p>
    <w:p w14:paraId="1D6CD536" w14:textId="77777777" w:rsidR="00023460" w:rsidRPr="00023460" w:rsidRDefault="00023460" w:rsidP="00023460">
      <w:pPr>
        <w:widowControl w:val="0"/>
        <w:spacing w:after="0"/>
        <w:jc w:val="both"/>
        <w:rPr>
          <w:rFonts w:ascii="Arial" w:hAnsi="Arial" w:cs="Arial"/>
          <w:sz w:val="20"/>
          <w:szCs w:val="20"/>
        </w:rPr>
      </w:pPr>
    </w:p>
    <w:p w14:paraId="733C3EF9" w14:textId="77777777" w:rsidR="00023460" w:rsidRPr="00023460" w:rsidRDefault="00023460" w:rsidP="00023460">
      <w:pPr>
        <w:spacing w:after="0"/>
        <w:rPr>
          <w:rFonts w:ascii="Arial" w:hAnsi="Arial" w:cs="Arial"/>
          <w:sz w:val="20"/>
          <w:szCs w:val="20"/>
          <w:lang w:val="en-IE"/>
        </w:rPr>
      </w:pPr>
      <w:bookmarkStart w:id="1" w:name="_Hlk23204579"/>
      <w:r w:rsidRPr="00023460">
        <w:rPr>
          <w:rFonts w:ascii="Arial" w:hAnsi="Arial" w:cs="Arial"/>
          <w:sz w:val="20"/>
          <w:szCs w:val="20"/>
          <w:lang w:val="en-IE"/>
        </w:rPr>
        <w:t xml:space="preserve">In 2018/19, the college has seen a continued growth in its Modern Apprenticeship contracts and doubled its Foundation Apprenticeship activity through its partnership with schools, employers, SDS and DYW North Highland; and through the regional Work Based Learning Hub to work across local planning boundaries to broaden the Foundation Apprenticeship offer in rural and remote areas through technologically-enabled delivery.   </w:t>
      </w:r>
    </w:p>
    <w:bookmarkEnd w:id="1"/>
    <w:p w14:paraId="6948C5CC" w14:textId="77777777" w:rsidR="00023460" w:rsidRPr="00023460" w:rsidRDefault="00023460" w:rsidP="00023460">
      <w:pPr>
        <w:spacing w:after="0"/>
        <w:rPr>
          <w:rFonts w:ascii="Arial" w:hAnsi="Arial" w:cs="Arial"/>
          <w:sz w:val="20"/>
          <w:szCs w:val="20"/>
          <w:lang w:val="en-IE"/>
        </w:rPr>
      </w:pPr>
    </w:p>
    <w:p w14:paraId="27D92051" w14:textId="4CA4F8D0" w:rsidR="00023460" w:rsidRPr="00023460" w:rsidRDefault="00023460" w:rsidP="00023460">
      <w:pPr>
        <w:spacing w:after="0"/>
        <w:rPr>
          <w:rFonts w:ascii="Arial" w:eastAsia="Calibri" w:hAnsi="Arial" w:cs="Arial"/>
          <w:sz w:val="20"/>
          <w:szCs w:val="20"/>
        </w:rPr>
      </w:pPr>
      <w:r w:rsidRPr="00023460">
        <w:rPr>
          <w:rFonts w:ascii="Arial" w:hAnsi="Arial" w:cs="Arial"/>
          <w:sz w:val="20"/>
          <w:szCs w:val="20"/>
        </w:rPr>
        <w:t>The College has recognised that g</w:t>
      </w:r>
      <w:r w:rsidRPr="00023460">
        <w:rPr>
          <w:rFonts w:ascii="Arial" w:hAnsi="Arial" w:cs="Arial"/>
          <w:color w:val="000000" w:themeColor="text1"/>
          <w:sz w:val="20"/>
          <w:szCs w:val="20"/>
        </w:rPr>
        <w:t>iven the levels of demographic change anticipated nationally, regionally and locally, with</w:t>
      </w:r>
      <w:r w:rsidRPr="00023460">
        <w:rPr>
          <w:rFonts w:ascii="Arial" w:eastAsia="Times New Roman" w:hAnsi="Arial" w:cs="Arial"/>
          <w:color w:val="181717"/>
          <w:sz w:val="20"/>
          <w:szCs w:val="20"/>
        </w:rPr>
        <w:t xml:space="preserve"> a substantial decline in numbers in the 16-29 age group predicted, there is </w:t>
      </w:r>
      <w:r w:rsidRPr="00023460">
        <w:rPr>
          <w:rFonts w:ascii="Arial" w:hAnsi="Arial" w:cs="Arial"/>
          <w:color w:val="000000" w:themeColor="text1"/>
          <w:sz w:val="20"/>
          <w:szCs w:val="20"/>
        </w:rPr>
        <w:t xml:space="preserve">a compelling need to focus efforts on providing accessible learning opportunities relevant to all working age people.   In response the </w:t>
      </w:r>
      <w:r w:rsidRPr="00023460">
        <w:rPr>
          <w:rFonts w:ascii="Arial" w:eastAsia="Calibri" w:hAnsi="Arial" w:cs="Arial"/>
          <w:sz w:val="20"/>
          <w:szCs w:val="20"/>
        </w:rPr>
        <w:t>College completed a comprehensive Curriculum Review exercise between January and June 2019 based on themes of growth and efficiency. All substantive courses were formally reviewed</w:t>
      </w:r>
      <w:r w:rsidR="00A32EFC">
        <w:rPr>
          <w:rFonts w:ascii="Arial" w:eastAsia="Calibri" w:hAnsi="Arial" w:cs="Arial"/>
          <w:sz w:val="20"/>
          <w:szCs w:val="20"/>
        </w:rPr>
        <w:t>, the outcomes of which</w:t>
      </w:r>
      <w:r w:rsidRPr="00023460">
        <w:rPr>
          <w:rFonts w:ascii="Arial" w:eastAsia="Calibri" w:hAnsi="Arial" w:cs="Arial"/>
          <w:sz w:val="20"/>
          <w:szCs w:val="20"/>
        </w:rPr>
        <w:t xml:space="preserve"> have informed the development of our curriculum strategy for the next 3-5 years</w:t>
      </w:r>
      <w:r w:rsidR="0053160D">
        <w:rPr>
          <w:rFonts w:ascii="Arial" w:eastAsia="Calibri" w:hAnsi="Arial" w:cs="Arial"/>
          <w:sz w:val="20"/>
          <w:szCs w:val="20"/>
        </w:rPr>
        <w:t>.  This</w:t>
      </w:r>
      <w:r w:rsidRPr="00023460">
        <w:rPr>
          <w:rFonts w:ascii="Arial" w:eastAsia="Calibri" w:hAnsi="Arial" w:cs="Arial"/>
          <w:sz w:val="20"/>
          <w:szCs w:val="20"/>
        </w:rPr>
        <w:t xml:space="preserve"> centre</w:t>
      </w:r>
      <w:r w:rsidR="0053160D">
        <w:rPr>
          <w:rFonts w:ascii="Arial" w:eastAsia="Calibri" w:hAnsi="Arial" w:cs="Arial"/>
          <w:sz w:val="20"/>
          <w:szCs w:val="20"/>
        </w:rPr>
        <w:t>s</w:t>
      </w:r>
      <w:r w:rsidRPr="00023460">
        <w:rPr>
          <w:rFonts w:ascii="Arial" w:eastAsia="Calibri" w:hAnsi="Arial" w:cs="Arial"/>
          <w:sz w:val="20"/>
          <w:szCs w:val="20"/>
        </w:rPr>
        <w:t xml:space="preserve"> around three key themes; meeting the needs of our key employment sectors, meeting the needs of learners on their journeys and widening access &amp; inclusion. </w:t>
      </w:r>
    </w:p>
    <w:p w14:paraId="4FB98AE8" w14:textId="77777777" w:rsidR="00023460" w:rsidRPr="00023460" w:rsidRDefault="00023460" w:rsidP="00023460">
      <w:pPr>
        <w:spacing w:after="0"/>
        <w:rPr>
          <w:rFonts w:ascii="Arial" w:eastAsia="Calibri" w:hAnsi="Arial" w:cs="Arial"/>
          <w:sz w:val="20"/>
          <w:szCs w:val="20"/>
        </w:rPr>
      </w:pPr>
    </w:p>
    <w:p w14:paraId="1C12CB10" w14:textId="4BDB164F" w:rsidR="00023460" w:rsidRPr="00023460" w:rsidRDefault="00023460" w:rsidP="00023460">
      <w:pPr>
        <w:spacing w:after="0"/>
        <w:rPr>
          <w:rFonts w:ascii="Arial" w:eastAsia="Calibri" w:hAnsi="Arial" w:cs="Arial"/>
          <w:color w:val="000000" w:themeColor="text1"/>
          <w:sz w:val="20"/>
          <w:szCs w:val="20"/>
          <w:lang w:eastAsia="en-GB"/>
        </w:rPr>
      </w:pPr>
      <w:r w:rsidRPr="00023460">
        <w:rPr>
          <w:rFonts w:ascii="Arial" w:eastAsia="Calibri" w:hAnsi="Arial" w:cs="Arial"/>
          <w:color w:val="000000" w:themeColor="text1"/>
          <w:sz w:val="20"/>
          <w:szCs w:val="20"/>
        </w:rPr>
        <w:t xml:space="preserve">Our highest priority will be to ensure the NHC curriculum is well aligned with the needs of our local high employment and high growth sectors, which have a strong focus on STEM (Science (including health related sciences), Technology, Engineering &amp; Maths) and Tourism &amp; Hospitality skills.  Our STEM activity </w:t>
      </w:r>
      <w:r w:rsidRPr="00023460">
        <w:rPr>
          <w:rFonts w:ascii="Arial" w:eastAsia="Calibri" w:hAnsi="Arial" w:cs="Arial"/>
          <w:color w:val="000000" w:themeColor="text1"/>
          <w:sz w:val="20"/>
          <w:szCs w:val="20"/>
          <w:lang w:eastAsia="en-GB"/>
        </w:rPr>
        <w:t xml:space="preserve">contributes significantly to the regional STEM strategy, given the college delivers a higher proportion of STEM credits than the region and sector overall. This is reflective of the College’s strong engagement with the engineering, construction and environmental science sectors and key employer partners, including </w:t>
      </w:r>
      <w:proofErr w:type="spellStart"/>
      <w:r w:rsidRPr="00023460">
        <w:rPr>
          <w:rFonts w:ascii="Arial" w:eastAsia="Calibri" w:hAnsi="Arial" w:cs="Arial"/>
          <w:color w:val="000000" w:themeColor="text1"/>
          <w:sz w:val="20"/>
          <w:szCs w:val="20"/>
          <w:lang w:eastAsia="en-GB"/>
        </w:rPr>
        <w:t>Nigg</w:t>
      </w:r>
      <w:proofErr w:type="spellEnd"/>
      <w:r w:rsidRPr="00023460">
        <w:rPr>
          <w:rFonts w:ascii="Arial" w:eastAsia="Calibri" w:hAnsi="Arial" w:cs="Arial"/>
          <w:color w:val="000000" w:themeColor="text1"/>
          <w:sz w:val="20"/>
          <w:szCs w:val="20"/>
          <w:lang w:eastAsia="en-GB"/>
        </w:rPr>
        <w:t xml:space="preserve"> Skills Academy</w:t>
      </w:r>
      <w:r w:rsidR="0053160D">
        <w:rPr>
          <w:rFonts w:ascii="Arial" w:eastAsia="Calibri" w:hAnsi="Arial" w:cs="Arial"/>
          <w:color w:val="000000" w:themeColor="text1"/>
          <w:sz w:val="20"/>
          <w:szCs w:val="20"/>
          <w:lang w:eastAsia="en-GB"/>
        </w:rPr>
        <w:t>.  Further growth is anticipated</w:t>
      </w:r>
      <w:r w:rsidR="00A32EFC">
        <w:rPr>
          <w:rFonts w:ascii="Arial" w:eastAsia="Calibri" w:hAnsi="Arial" w:cs="Arial"/>
          <w:color w:val="000000" w:themeColor="text1"/>
          <w:sz w:val="20"/>
          <w:szCs w:val="20"/>
          <w:lang w:eastAsia="en-GB"/>
        </w:rPr>
        <w:t xml:space="preserve"> </w:t>
      </w:r>
      <w:r w:rsidR="0053160D">
        <w:rPr>
          <w:rFonts w:ascii="Arial" w:eastAsia="Calibri" w:hAnsi="Arial" w:cs="Arial"/>
          <w:color w:val="000000" w:themeColor="text1"/>
          <w:sz w:val="20"/>
          <w:szCs w:val="20"/>
          <w:lang w:eastAsia="en-GB"/>
        </w:rPr>
        <w:t>as o</w:t>
      </w:r>
      <w:r w:rsidRPr="00023460">
        <w:rPr>
          <w:rFonts w:ascii="Arial" w:eastAsia="Calibri" w:hAnsi="Arial" w:cs="Arial"/>
          <w:color w:val="000000" w:themeColor="text1"/>
          <w:sz w:val="20"/>
          <w:szCs w:val="20"/>
          <w:lang w:eastAsia="en-GB"/>
        </w:rPr>
        <w:t xml:space="preserve">pportunities to develop this niche provision </w:t>
      </w:r>
      <w:r w:rsidR="0053160D" w:rsidRPr="00023460">
        <w:rPr>
          <w:rFonts w:ascii="Arial" w:eastAsia="Calibri" w:hAnsi="Arial" w:cs="Arial"/>
          <w:color w:val="000000" w:themeColor="text1"/>
          <w:sz w:val="20"/>
          <w:szCs w:val="20"/>
          <w:lang w:eastAsia="en-GB"/>
        </w:rPr>
        <w:t>emerg</w:t>
      </w:r>
      <w:r w:rsidR="0053160D">
        <w:rPr>
          <w:rFonts w:ascii="Arial" w:eastAsia="Calibri" w:hAnsi="Arial" w:cs="Arial"/>
          <w:color w:val="000000" w:themeColor="text1"/>
          <w:sz w:val="20"/>
          <w:szCs w:val="20"/>
          <w:lang w:eastAsia="en-GB"/>
        </w:rPr>
        <w:t>e</w:t>
      </w:r>
      <w:r w:rsidR="0053160D" w:rsidRPr="00023460">
        <w:rPr>
          <w:rFonts w:ascii="Arial" w:eastAsia="Calibri" w:hAnsi="Arial" w:cs="Arial"/>
          <w:color w:val="000000" w:themeColor="text1"/>
          <w:sz w:val="20"/>
          <w:szCs w:val="20"/>
          <w:lang w:eastAsia="en-GB"/>
        </w:rPr>
        <w:t xml:space="preserve"> </w:t>
      </w:r>
      <w:r w:rsidRPr="00023460">
        <w:rPr>
          <w:rFonts w:ascii="Arial" w:eastAsia="Calibri" w:hAnsi="Arial" w:cs="Arial"/>
          <w:color w:val="000000" w:themeColor="text1"/>
          <w:sz w:val="20"/>
          <w:szCs w:val="20"/>
          <w:lang w:eastAsia="en-GB"/>
        </w:rPr>
        <w:t xml:space="preserve">locally, regionally and nationally. A further priority will be to critically examine opportunities to build on </w:t>
      </w:r>
      <w:r w:rsidR="0053160D">
        <w:rPr>
          <w:rFonts w:ascii="Arial" w:eastAsia="Calibri" w:hAnsi="Arial" w:cs="Arial"/>
          <w:color w:val="000000" w:themeColor="text1"/>
          <w:sz w:val="20"/>
          <w:szCs w:val="20"/>
          <w:lang w:eastAsia="en-GB"/>
        </w:rPr>
        <w:t>other</w:t>
      </w:r>
      <w:r w:rsidRPr="00023460">
        <w:rPr>
          <w:rFonts w:ascii="Arial" w:eastAsia="Calibri" w:hAnsi="Arial" w:cs="Arial"/>
          <w:color w:val="000000" w:themeColor="text1"/>
          <w:sz w:val="20"/>
          <w:szCs w:val="20"/>
          <w:lang w:eastAsia="en-GB"/>
        </w:rPr>
        <w:t xml:space="preserve"> niche course provision (primarily Land based, Golf</w:t>
      </w:r>
      <w:r w:rsidR="0053160D">
        <w:rPr>
          <w:rFonts w:ascii="Arial" w:eastAsia="Calibri" w:hAnsi="Arial" w:cs="Arial"/>
          <w:color w:val="000000" w:themeColor="text1"/>
          <w:sz w:val="20"/>
          <w:szCs w:val="20"/>
          <w:lang w:eastAsia="en-GB"/>
        </w:rPr>
        <w:t xml:space="preserve"> </w:t>
      </w:r>
      <w:r w:rsidRPr="00023460">
        <w:rPr>
          <w:rFonts w:ascii="Arial" w:eastAsia="Calibri" w:hAnsi="Arial" w:cs="Arial"/>
          <w:color w:val="000000" w:themeColor="text1"/>
          <w:sz w:val="20"/>
          <w:szCs w:val="20"/>
          <w:lang w:eastAsia="en-GB"/>
        </w:rPr>
        <w:t xml:space="preserve">and Environmental Science) at both FE and HE level and to continue to closely collaborate with other UHI partners to create new programmes and maintain local access to learning opportunities </w:t>
      </w:r>
      <w:r w:rsidR="00A32EFC">
        <w:rPr>
          <w:rFonts w:ascii="Arial" w:eastAsia="Calibri" w:hAnsi="Arial" w:cs="Arial"/>
          <w:color w:val="000000" w:themeColor="text1"/>
          <w:sz w:val="20"/>
          <w:szCs w:val="20"/>
          <w:lang w:eastAsia="en-GB"/>
        </w:rPr>
        <w:t>that the College</w:t>
      </w:r>
      <w:r w:rsidRPr="00023460">
        <w:rPr>
          <w:rFonts w:ascii="Arial" w:eastAsia="Calibri" w:hAnsi="Arial" w:cs="Arial"/>
          <w:color w:val="000000" w:themeColor="text1"/>
          <w:sz w:val="20"/>
          <w:szCs w:val="20"/>
          <w:lang w:eastAsia="en-GB"/>
        </w:rPr>
        <w:t xml:space="preserve"> can’t provide independently.</w:t>
      </w:r>
    </w:p>
    <w:p w14:paraId="1804E40E" w14:textId="77777777" w:rsidR="00023460" w:rsidRPr="00023460" w:rsidRDefault="00023460" w:rsidP="00023460">
      <w:pPr>
        <w:spacing w:after="0"/>
        <w:rPr>
          <w:rFonts w:ascii="Arial" w:eastAsia="Calibri" w:hAnsi="Arial" w:cs="Arial"/>
          <w:color w:val="000000" w:themeColor="text1"/>
          <w:sz w:val="20"/>
          <w:szCs w:val="20"/>
          <w:lang w:eastAsia="en-GB"/>
        </w:rPr>
      </w:pPr>
    </w:p>
    <w:p w14:paraId="0EADAC41" w14:textId="6AF20442" w:rsidR="00023460" w:rsidRPr="00023460" w:rsidRDefault="00023460" w:rsidP="00023460">
      <w:pPr>
        <w:spacing w:after="0" w:line="251" w:lineRule="auto"/>
        <w:rPr>
          <w:rFonts w:ascii="Arial" w:eastAsia="Calibri" w:hAnsi="Arial" w:cs="Arial"/>
          <w:color w:val="000000" w:themeColor="text1"/>
          <w:sz w:val="20"/>
          <w:szCs w:val="20"/>
        </w:rPr>
      </w:pPr>
      <w:r w:rsidRPr="00023460">
        <w:rPr>
          <w:rFonts w:ascii="Arial" w:eastAsia="Calibri" w:hAnsi="Arial" w:cs="Arial"/>
          <w:color w:val="000000" w:themeColor="text1"/>
          <w:sz w:val="20"/>
          <w:szCs w:val="20"/>
        </w:rPr>
        <w:t xml:space="preserve">2018-19 saw a drop in the number of credits delivered to learners from SIMD10, due to a significant review of our access (SCQF level 3/4) provision.  Courses within the Easter Ross area were </w:t>
      </w:r>
      <w:proofErr w:type="gramStart"/>
      <w:r w:rsidRPr="00023460">
        <w:rPr>
          <w:rFonts w:ascii="Arial" w:eastAsia="Calibri" w:hAnsi="Arial" w:cs="Arial"/>
          <w:color w:val="000000" w:themeColor="text1"/>
          <w:sz w:val="20"/>
          <w:szCs w:val="20"/>
        </w:rPr>
        <w:t xml:space="preserve">temporarily </w:t>
      </w:r>
      <w:r w:rsidR="0053160D" w:rsidRPr="00023460">
        <w:rPr>
          <w:rFonts w:ascii="Arial" w:eastAsia="Calibri" w:hAnsi="Arial" w:cs="Arial"/>
          <w:color w:val="000000" w:themeColor="text1"/>
          <w:sz w:val="20"/>
          <w:szCs w:val="20"/>
        </w:rPr>
        <w:t>suspended</w:t>
      </w:r>
      <w:proofErr w:type="gramEnd"/>
      <w:r w:rsidR="0053160D" w:rsidRPr="00023460">
        <w:rPr>
          <w:rFonts w:ascii="Arial" w:eastAsia="Calibri" w:hAnsi="Arial" w:cs="Arial"/>
          <w:color w:val="000000" w:themeColor="text1"/>
          <w:sz w:val="20"/>
          <w:szCs w:val="20"/>
        </w:rPr>
        <w:t>,</w:t>
      </w:r>
      <w:r w:rsidRPr="00023460">
        <w:rPr>
          <w:rFonts w:ascii="Arial" w:eastAsia="Calibri" w:hAnsi="Arial" w:cs="Arial"/>
          <w:color w:val="000000" w:themeColor="text1"/>
          <w:sz w:val="20"/>
          <w:szCs w:val="20"/>
        </w:rPr>
        <w:t xml:space="preserve"> </w:t>
      </w:r>
      <w:r w:rsidR="0053160D">
        <w:rPr>
          <w:rFonts w:ascii="Arial" w:eastAsia="Calibri" w:hAnsi="Arial" w:cs="Arial"/>
          <w:color w:val="000000" w:themeColor="text1"/>
          <w:sz w:val="20"/>
          <w:szCs w:val="20"/>
        </w:rPr>
        <w:t xml:space="preserve">however </w:t>
      </w:r>
      <w:r w:rsidRPr="00023460">
        <w:rPr>
          <w:rFonts w:ascii="Arial" w:eastAsia="Calibri" w:hAnsi="Arial" w:cs="Arial"/>
          <w:color w:val="000000" w:themeColor="text1"/>
          <w:sz w:val="20"/>
          <w:szCs w:val="20"/>
        </w:rPr>
        <w:t xml:space="preserve">refreshed provision </w:t>
      </w:r>
      <w:r w:rsidR="0053160D">
        <w:rPr>
          <w:rFonts w:ascii="Arial" w:eastAsia="Calibri" w:hAnsi="Arial" w:cs="Arial"/>
          <w:color w:val="000000" w:themeColor="text1"/>
          <w:sz w:val="20"/>
          <w:szCs w:val="20"/>
        </w:rPr>
        <w:t xml:space="preserve">is </w:t>
      </w:r>
      <w:r w:rsidRPr="00023460">
        <w:rPr>
          <w:rFonts w:ascii="Arial" w:eastAsia="Calibri" w:hAnsi="Arial" w:cs="Arial"/>
          <w:color w:val="000000" w:themeColor="text1"/>
          <w:sz w:val="20"/>
          <w:szCs w:val="20"/>
        </w:rPr>
        <w:t xml:space="preserve">being introduced in November 2019.  The college has seen increases in the </w:t>
      </w:r>
      <w:r w:rsidR="0053160D">
        <w:rPr>
          <w:rFonts w:ascii="Arial" w:eastAsia="Calibri" w:hAnsi="Arial" w:cs="Arial"/>
          <w:color w:val="000000" w:themeColor="text1"/>
          <w:sz w:val="20"/>
          <w:szCs w:val="20"/>
        </w:rPr>
        <w:t xml:space="preserve">number of students and </w:t>
      </w:r>
      <w:r w:rsidRPr="00023460">
        <w:rPr>
          <w:rFonts w:ascii="Arial" w:eastAsia="Calibri" w:hAnsi="Arial" w:cs="Arial"/>
          <w:color w:val="000000" w:themeColor="text1"/>
          <w:sz w:val="20"/>
          <w:szCs w:val="20"/>
        </w:rPr>
        <w:t xml:space="preserve">volume of </w:t>
      </w:r>
      <w:r w:rsidR="00A32EFC">
        <w:rPr>
          <w:rFonts w:ascii="Arial" w:eastAsia="Calibri" w:hAnsi="Arial" w:cs="Arial"/>
          <w:color w:val="000000" w:themeColor="text1"/>
          <w:sz w:val="20"/>
          <w:szCs w:val="20"/>
        </w:rPr>
        <w:t xml:space="preserve"> </w:t>
      </w:r>
      <w:r w:rsidRPr="00023460">
        <w:rPr>
          <w:rFonts w:ascii="Arial" w:eastAsia="Calibri" w:hAnsi="Arial" w:cs="Arial"/>
          <w:color w:val="000000" w:themeColor="text1"/>
          <w:sz w:val="20"/>
          <w:szCs w:val="20"/>
        </w:rPr>
        <w:t>credits</w:t>
      </w:r>
      <w:r w:rsidR="00A32EFC">
        <w:rPr>
          <w:rFonts w:ascii="Arial" w:eastAsia="Calibri" w:hAnsi="Arial" w:cs="Arial"/>
          <w:color w:val="000000" w:themeColor="text1"/>
          <w:sz w:val="20"/>
          <w:szCs w:val="20"/>
        </w:rPr>
        <w:t xml:space="preserve"> delivered to </w:t>
      </w:r>
      <w:r w:rsidR="0053160D">
        <w:rPr>
          <w:rFonts w:ascii="Arial" w:eastAsia="Calibri" w:hAnsi="Arial" w:cs="Arial"/>
          <w:color w:val="000000" w:themeColor="text1"/>
          <w:sz w:val="20"/>
          <w:szCs w:val="20"/>
        </w:rPr>
        <w:t>students</w:t>
      </w:r>
      <w:r w:rsidRPr="00023460">
        <w:rPr>
          <w:rFonts w:ascii="Arial" w:eastAsia="Calibri" w:hAnsi="Arial" w:cs="Arial"/>
          <w:color w:val="000000" w:themeColor="text1"/>
          <w:sz w:val="20"/>
          <w:szCs w:val="20"/>
        </w:rPr>
        <w:t xml:space="preserve"> with a disability and those coming from a care experienced background as a consequence of exploring options to create new opportunities to widen provision and access through working in partnership with local community groups and agencies and regional strategies to develop school-college provision.</w:t>
      </w:r>
    </w:p>
    <w:p w14:paraId="5A0D12DB" w14:textId="429945A8" w:rsidR="00023460" w:rsidRPr="00023460" w:rsidRDefault="00023460" w:rsidP="00023460">
      <w:pPr>
        <w:spacing w:after="0" w:line="251" w:lineRule="auto"/>
        <w:rPr>
          <w:rFonts w:ascii="Arial" w:eastAsia="Calibri" w:hAnsi="Arial" w:cs="Arial"/>
          <w:color w:val="000000" w:themeColor="text1"/>
          <w:sz w:val="20"/>
          <w:szCs w:val="20"/>
        </w:rPr>
      </w:pPr>
    </w:p>
    <w:p w14:paraId="5C4D2B93" w14:textId="77777777" w:rsidR="00023460" w:rsidRPr="00023460" w:rsidRDefault="00023460" w:rsidP="00023460">
      <w:pPr>
        <w:spacing w:after="0"/>
        <w:rPr>
          <w:rFonts w:ascii="Arial" w:hAnsi="Arial" w:cs="Arial"/>
          <w:b/>
          <w:bCs/>
          <w:i/>
          <w:iCs/>
          <w:sz w:val="20"/>
          <w:szCs w:val="20"/>
        </w:rPr>
      </w:pPr>
      <w:r w:rsidRPr="00023460">
        <w:rPr>
          <w:rFonts w:ascii="Arial" w:hAnsi="Arial" w:cs="Arial"/>
          <w:b/>
          <w:bCs/>
          <w:i/>
          <w:iCs/>
          <w:sz w:val="20"/>
          <w:szCs w:val="20"/>
        </w:rPr>
        <w:t xml:space="preserve">Retention  </w:t>
      </w:r>
    </w:p>
    <w:p w14:paraId="178D990C" w14:textId="77777777" w:rsidR="00023460" w:rsidRPr="00023460" w:rsidRDefault="00023460" w:rsidP="00023460">
      <w:pPr>
        <w:spacing w:after="0"/>
        <w:rPr>
          <w:rFonts w:ascii="Arial" w:hAnsi="Arial" w:cs="Arial"/>
          <w:sz w:val="20"/>
          <w:szCs w:val="20"/>
        </w:rPr>
      </w:pPr>
    </w:p>
    <w:p w14:paraId="36E6DFED" w14:textId="5F93C5A6" w:rsidR="00023460" w:rsidRPr="00023460" w:rsidRDefault="00A32EFC" w:rsidP="00023460">
      <w:pPr>
        <w:spacing w:after="0"/>
        <w:rPr>
          <w:rFonts w:ascii="Arial" w:hAnsi="Arial" w:cs="Arial"/>
          <w:sz w:val="20"/>
          <w:szCs w:val="20"/>
        </w:rPr>
      </w:pPr>
      <w:r>
        <w:rPr>
          <w:rFonts w:ascii="Arial" w:hAnsi="Arial" w:cs="Arial"/>
          <w:sz w:val="20"/>
          <w:szCs w:val="20"/>
        </w:rPr>
        <w:t>R</w:t>
      </w:r>
      <w:r w:rsidR="00023460" w:rsidRPr="00023460">
        <w:rPr>
          <w:rFonts w:ascii="Arial" w:hAnsi="Arial" w:cs="Arial"/>
          <w:sz w:val="20"/>
          <w:szCs w:val="20"/>
        </w:rPr>
        <w:t xml:space="preserve">egionalisation of further education has continued to mature and the </w:t>
      </w:r>
      <w:r>
        <w:rPr>
          <w:rFonts w:ascii="Arial" w:hAnsi="Arial" w:cs="Arial"/>
          <w:sz w:val="20"/>
          <w:szCs w:val="20"/>
        </w:rPr>
        <w:t xml:space="preserve">UHI </w:t>
      </w:r>
      <w:r w:rsidR="00023460" w:rsidRPr="00023460">
        <w:rPr>
          <w:rFonts w:ascii="Arial" w:hAnsi="Arial" w:cs="Arial"/>
          <w:sz w:val="20"/>
          <w:szCs w:val="20"/>
        </w:rPr>
        <w:t xml:space="preserve">partnership has continued to develop a strategic, collaborative approach to addressing the challenges the region faces. </w:t>
      </w:r>
      <w:r>
        <w:rPr>
          <w:rFonts w:ascii="Arial" w:hAnsi="Arial" w:cs="Arial"/>
          <w:sz w:val="20"/>
          <w:szCs w:val="20"/>
        </w:rPr>
        <w:t>I</w:t>
      </w:r>
      <w:r w:rsidR="00023460" w:rsidRPr="00023460">
        <w:rPr>
          <w:rFonts w:ascii="Arial" w:hAnsi="Arial" w:cs="Arial"/>
          <w:sz w:val="20"/>
          <w:szCs w:val="20"/>
        </w:rPr>
        <w:t>n 2018/19</w:t>
      </w:r>
      <w:r>
        <w:rPr>
          <w:rFonts w:ascii="Arial" w:hAnsi="Arial" w:cs="Arial"/>
          <w:sz w:val="20"/>
          <w:szCs w:val="20"/>
        </w:rPr>
        <w:t>,</w:t>
      </w:r>
      <w:r w:rsidR="00023460" w:rsidRPr="00023460">
        <w:rPr>
          <w:rFonts w:ascii="Arial" w:hAnsi="Arial" w:cs="Arial"/>
          <w:sz w:val="20"/>
          <w:szCs w:val="20"/>
        </w:rPr>
        <w:t xml:space="preserve"> the </w:t>
      </w:r>
      <w:r>
        <w:rPr>
          <w:rFonts w:ascii="Arial" w:hAnsi="Arial" w:cs="Arial"/>
          <w:sz w:val="20"/>
          <w:szCs w:val="20"/>
        </w:rPr>
        <w:t>partnership</w:t>
      </w:r>
      <w:r w:rsidR="00023460" w:rsidRPr="00023460">
        <w:rPr>
          <w:rFonts w:ascii="Arial" w:hAnsi="Arial" w:cs="Arial"/>
          <w:sz w:val="20"/>
          <w:szCs w:val="20"/>
        </w:rPr>
        <w:t xml:space="preserve"> collectively developed a regional strategy for the enhancement of student attainment to address challenges in attainment of mainstream and disadvantaged students and this is driving enhancement activity in 2019/20 at local and regional level.  </w:t>
      </w:r>
      <w:r>
        <w:rPr>
          <w:rFonts w:ascii="Arial" w:hAnsi="Arial" w:cs="Arial"/>
          <w:sz w:val="20"/>
          <w:szCs w:val="20"/>
        </w:rPr>
        <w:t xml:space="preserve">  </w:t>
      </w:r>
    </w:p>
    <w:p w14:paraId="52296A74" w14:textId="77777777" w:rsidR="00023460" w:rsidRPr="00023460" w:rsidRDefault="00023460" w:rsidP="00023460">
      <w:pPr>
        <w:spacing w:after="0"/>
        <w:rPr>
          <w:rFonts w:ascii="Arial" w:hAnsi="Arial" w:cs="Arial"/>
          <w:sz w:val="20"/>
          <w:szCs w:val="20"/>
        </w:rPr>
      </w:pPr>
    </w:p>
    <w:p w14:paraId="19E5B870" w14:textId="0734FFA7" w:rsidR="00023460" w:rsidRPr="00D73715" w:rsidRDefault="00023460" w:rsidP="00023460">
      <w:pPr>
        <w:spacing w:after="0" w:line="240" w:lineRule="auto"/>
        <w:rPr>
          <w:rFonts w:ascii="Arial" w:hAnsi="Arial" w:cs="Arial"/>
          <w:sz w:val="20"/>
          <w:szCs w:val="20"/>
        </w:rPr>
      </w:pPr>
      <w:r w:rsidRPr="00023460">
        <w:rPr>
          <w:rFonts w:ascii="Arial" w:hAnsi="Arial" w:cs="Arial"/>
          <w:sz w:val="20"/>
          <w:szCs w:val="20"/>
        </w:rPr>
        <w:t>Early indicators show a disappointing reduction in student retention for FT learners in 2018/19, which ha</w:t>
      </w:r>
      <w:r w:rsidR="0016769A">
        <w:rPr>
          <w:rFonts w:ascii="Arial" w:hAnsi="Arial" w:cs="Arial"/>
          <w:sz w:val="20"/>
          <w:szCs w:val="20"/>
        </w:rPr>
        <w:t xml:space="preserve">s </w:t>
      </w:r>
      <w:r w:rsidRPr="00023460">
        <w:rPr>
          <w:rFonts w:ascii="Arial" w:hAnsi="Arial" w:cs="Arial"/>
          <w:sz w:val="20"/>
          <w:szCs w:val="20"/>
        </w:rPr>
        <w:t xml:space="preserve">impacted on overall attainment.  Reasons for withdrawal are multiple and varied across programmes and include students entering employment, disciplinary issues and a variety of personal reasons.  </w:t>
      </w:r>
      <w:r w:rsidRPr="00D73715">
        <w:rPr>
          <w:rFonts w:ascii="Arial" w:hAnsi="Arial" w:cs="Arial"/>
          <w:sz w:val="20"/>
          <w:szCs w:val="20"/>
        </w:rPr>
        <w:t xml:space="preserve">Support/tutor triage meetings </w:t>
      </w:r>
      <w:r w:rsidRPr="00023460">
        <w:rPr>
          <w:rFonts w:ascii="Arial" w:hAnsi="Arial" w:cs="Arial"/>
          <w:sz w:val="20"/>
          <w:szCs w:val="20"/>
        </w:rPr>
        <w:t>were</w:t>
      </w:r>
      <w:r w:rsidRPr="00D73715">
        <w:rPr>
          <w:rFonts w:ascii="Arial" w:hAnsi="Arial" w:cs="Arial"/>
          <w:sz w:val="20"/>
          <w:szCs w:val="20"/>
        </w:rPr>
        <w:t xml:space="preserve"> rolled out to more FT programmes and have assisted course teams and support staff to identify issues with individual students and </w:t>
      </w:r>
      <w:r w:rsidRPr="00D73715">
        <w:rPr>
          <w:rFonts w:ascii="Arial" w:hAnsi="Arial" w:cs="Arial"/>
          <w:sz w:val="20"/>
          <w:szCs w:val="20"/>
        </w:rPr>
        <w:lastRenderedPageBreak/>
        <w:t xml:space="preserve">target interventions at a much earlier point.  Whilst this has been effective in improving retention in some courses, the impact has not been consistent across all programmes, despite close liaison between support staff and Personal Academic Tutors.  This is reflective of the changing student demographic, </w:t>
      </w:r>
      <w:r w:rsidR="0016769A">
        <w:rPr>
          <w:rFonts w:ascii="Arial" w:hAnsi="Arial" w:cs="Arial"/>
          <w:sz w:val="20"/>
          <w:szCs w:val="20"/>
        </w:rPr>
        <w:t xml:space="preserve">with an </w:t>
      </w:r>
      <w:r w:rsidRPr="00D73715">
        <w:rPr>
          <w:rFonts w:ascii="Arial" w:hAnsi="Arial" w:cs="Arial"/>
          <w:sz w:val="20"/>
          <w:szCs w:val="20"/>
        </w:rPr>
        <w:t xml:space="preserve">increasing number of </w:t>
      </w:r>
      <w:r w:rsidR="0016769A">
        <w:rPr>
          <w:rFonts w:ascii="Arial" w:hAnsi="Arial" w:cs="Arial"/>
          <w:sz w:val="20"/>
          <w:szCs w:val="20"/>
        </w:rPr>
        <w:t>students coming</w:t>
      </w:r>
      <w:r w:rsidRPr="00D73715">
        <w:rPr>
          <w:rFonts w:ascii="Arial" w:hAnsi="Arial" w:cs="Arial"/>
          <w:sz w:val="20"/>
          <w:szCs w:val="20"/>
        </w:rPr>
        <w:t xml:space="preserve"> to college with more complex and challenging needs/backgrounds</w:t>
      </w:r>
      <w:r w:rsidRPr="00023460">
        <w:rPr>
          <w:rFonts w:ascii="Arial" w:hAnsi="Arial" w:cs="Arial"/>
          <w:sz w:val="20"/>
          <w:szCs w:val="20"/>
        </w:rPr>
        <w:t xml:space="preserve"> including mental health and drug issues</w:t>
      </w:r>
      <w:r w:rsidRPr="00D73715">
        <w:rPr>
          <w:rFonts w:ascii="Arial" w:hAnsi="Arial" w:cs="Arial"/>
          <w:sz w:val="20"/>
          <w:szCs w:val="20"/>
        </w:rPr>
        <w:t>.  The college is considering further how it can respond to these challenges within th</w:t>
      </w:r>
      <w:r w:rsidRPr="00023460">
        <w:rPr>
          <w:rFonts w:ascii="Arial" w:hAnsi="Arial" w:cs="Arial"/>
          <w:sz w:val="20"/>
          <w:szCs w:val="20"/>
        </w:rPr>
        <w:t>e challenging</w:t>
      </w:r>
      <w:r w:rsidRPr="00D73715">
        <w:rPr>
          <w:rFonts w:ascii="Arial" w:hAnsi="Arial" w:cs="Arial"/>
          <w:sz w:val="20"/>
          <w:szCs w:val="20"/>
        </w:rPr>
        <w:t xml:space="preserve"> financial </w:t>
      </w:r>
      <w:r w:rsidRPr="00023460">
        <w:rPr>
          <w:rFonts w:ascii="Arial" w:hAnsi="Arial" w:cs="Arial"/>
          <w:sz w:val="20"/>
          <w:szCs w:val="20"/>
        </w:rPr>
        <w:t xml:space="preserve">environment in which it is operating. </w:t>
      </w:r>
      <w:r w:rsidRPr="00D73715">
        <w:rPr>
          <w:rFonts w:ascii="Arial" w:hAnsi="Arial" w:cs="Arial"/>
          <w:sz w:val="20"/>
          <w:szCs w:val="20"/>
        </w:rPr>
        <w:t xml:space="preserve"> </w:t>
      </w:r>
      <w:r w:rsidR="0053160D">
        <w:rPr>
          <w:rFonts w:ascii="Arial" w:hAnsi="Arial" w:cs="Arial"/>
          <w:sz w:val="20"/>
          <w:szCs w:val="20"/>
        </w:rPr>
        <w:t xml:space="preserve">One example of how the college is </w:t>
      </w:r>
      <w:r w:rsidRPr="00D73715">
        <w:rPr>
          <w:rFonts w:ascii="Arial" w:hAnsi="Arial" w:cs="Arial"/>
          <w:sz w:val="20"/>
          <w:szCs w:val="20"/>
        </w:rPr>
        <w:t>respo</w:t>
      </w:r>
      <w:r w:rsidR="0053160D">
        <w:rPr>
          <w:rFonts w:ascii="Arial" w:hAnsi="Arial" w:cs="Arial"/>
          <w:sz w:val="20"/>
          <w:szCs w:val="20"/>
        </w:rPr>
        <w:t>nding</w:t>
      </w:r>
      <w:r w:rsidRPr="00D73715">
        <w:rPr>
          <w:rFonts w:ascii="Arial" w:hAnsi="Arial" w:cs="Arial"/>
          <w:sz w:val="20"/>
          <w:szCs w:val="20"/>
        </w:rPr>
        <w:t xml:space="preserve"> </w:t>
      </w:r>
      <w:r w:rsidRPr="00023460">
        <w:rPr>
          <w:rFonts w:ascii="Arial" w:hAnsi="Arial" w:cs="Arial"/>
          <w:sz w:val="20"/>
          <w:szCs w:val="20"/>
        </w:rPr>
        <w:t xml:space="preserve">includes </w:t>
      </w:r>
      <w:r w:rsidRPr="00D73715">
        <w:rPr>
          <w:rFonts w:ascii="Arial" w:hAnsi="Arial" w:cs="Arial"/>
          <w:sz w:val="20"/>
          <w:szCs w:val="20"/>
        </w:rPr>
        <w:t>the piloting of a hybrid “learner development/support worker” role for full time FE programmes in Care at the Thurso campus for 2019/2</w:t>
      </w:r>
      <w:r w:rsidRPr="00023460">
        <w:rPr>
          <w:rFonts w:ascii="Arial" w:hAnsi="Arial" w:cs="Arial"/>
          <w:sz w:val="20"/>
          <w:szCs w:val="20"/>
        </w:rPr>
        <w:t>0.</w:t>
      </w:r>
    </w:p>
    <w:p w14:paraId="1CE1616E" w14:textId="77777777" w:rsidR="00023460" w:rsidRPr="00023460" w:rsidRDefault="00023460" w:rsidP="00023460">
      <w:pPr>
        <w:spacing w:after="0"/>
        <w:rPr>
          <w:rFonts w:ascii="Arial" w:hAnsi="Arial" w:cs="Arial"/>
          <w:sz w:val="20"/>
          <w:szCs w:val="20"/>
        </w:rPr>
      </w:pPr>
    </w:p>
    <w:p w14:paraId="0D636A0B" w14:textId="1BAD1552" w:rsidR="00023460" w:rsidRPr="00023460" w:rsidRDefault="00023460" w:rsidP="00023460">
      <w:pPr>
        <w:spacing w:after="0"/>
        <w:rPr>
          <w:rFonts w:ascii="Arial" w:hAnsi="Arial" w:cs="Arial"/>
          <w:sz w:val="20"/>
          <w:szCs w:val="20"/>
        </w:rPr>
      </w:pPr>
      <w:r w:rsidRPr="00023460">
        <w:rPr>
          <w:rFonts w:ascii="Arial" w:hAnsi="Arial" w:cs="Arial"/>
          <w:sz w:val="20"/>
          <w:szCs w:val="20"/>
        </w:rPr>
        <w:t>College staff also participated, as part of the regional single policy project, in the development of a student attendance and engagement policy.  The college successfully implemented an online attendance system which has resulted in modest efficiency gains and opportunities to improve attendance monitoring in line with implementing this policy locally.  Work is continuing to improve reports to support this implementation.</w:t>
      </w:r>
    </w:p>
    <w:p w14:paraId="39E7DA80" w14:textId="77777777" w:rsidR="00023460" w:rsidRPr="00023460" w:rsidRDefault="00023460" w:rsidP="00023460">
      <w:pPr>
        <w:spacing w:after="0"/>
        <w:rPr>
          <w:rFonts w:ascii="Arial" w:hAnsi="Arial" w:cs="Arial"/>
          <w:sz w:val="20"/>
          <w:szCs w:val="20"/>
        </w:rPr>
      </w:pPr>
    </w:p>
    <w:p w14:paraId="0EB62450" w14:textId="2DE95487" w:rsidR="00023460" w:rsidRPr="00023460" w:rsidRDefault="00023460" w:rsidP="00023460">
      <w:pPr>
        <w:spacing w:after="0"/>
        <w:rPr>
          <w:rFonts w:ascii="Arial" w:hAnsi="Arial" w:cs="Arial"/>
          <w:sz w:val="20"/>
          <w:szCs w:val="20"/>
        </w:rPr>
      </w:pPr>
      <w:r w:rsidRPr="00023460">
        <w:rPr>
          <w:rFonts w:ascii="Arial" w:hAnsi="Arial" w:cs="Arial"/>
          <w:sz w:val="20"/>
          <w:szCs w:val="20"/>
        </w:rPr>
        <w:t>The college has seen a 2% improvement in withdrawal rates across all PT learners</w:t>
      </w:r>
      <w:r w:rsidR="0016769A">
        <w:rPr>
          <w:rFonts w:ascii="Arial" w:hAnsi="Arial" w:cs="Arial"/>
          <w:sz w:val="20"/>
          <w:szCs w:val="20"/>
        </w:rPr>
        <w:t xml:space="preserve">.  </w:t>
      </w:r>
      <w:r w:rsidRPr="00023460">
        <w:rPr>
          <w:rFonts w:ascii="Arial" w:hAnsi="Arial" w:cs="Arial"/>
          <w:sz w:val="20"/>
          <w:szCs w:val="20"/>
        </w:rPr>
        <w:t xml:space="preserve">Revised admission and induction processes for </w:t>
      </w:r>
      <w:r w:rsidR="007C24C7" w:rsidRPr="00023460">
        <w:rPr>
          <w:rFonts w:ascii="Arial" w:hAnsi="Arial" w:cs="Arial"/>
          <w:sz w:val="20"/>
          <w:szCs w:val="20"/>
        </w:rPr>
        <w:t>school-based</w:t>
      </w:r>
      <w:r w:rsidRPr="00023460">
        <w:rPr>
          <w:rFonts w:ascii="Arial" w:hAnsi="Arial" w:cs="Arial"/>
          <w:sz w:val="20"/>
          <w:szCs w:val="20"/>
        </w:rPr>
        <w:t xml:space="preserve"> learners have had a positive impact on retention rates and have resulted in a 7.5% improvement in outcomes for PT senior phase pupils studying vocational qualifications.  </w:t>
      </w:r>
    </w:p>
    <w:p w14:paraId="7C9BD34C" w14:textId="77777777" w:rsidR="00023460" w:rsidRPr="00023460" w:rsidRDefault="00023460" w:rsidP="00023460">
      <w:pPr>
        <w:spacing w:after="0"/>
        <w:rPr>
          <w:rFonts w:ascii="Arial" w:hAnsi="Arial" w:cs="Arial"/>
          <w:sz w:val="20"/>
          <w:szCs w:val="20"/>
        </w:rPr>
      </w:pPr>
    </w:p>
    <w:p w14:paraId="0D121FAB" w14:textId="0105FA55" w:rsidR="00023460" w:rsidRPr="00023460" w:rsidRDefault="00023460" w:rsidP="00023460">
      <w:pPr>
        <w:spacing w:after="0" w:line="251" w:lineRule="auto"/>
        <w:rPr>
          <w:rFonts w:ascii="Arial" w:eastAsia="Calibri" w:hAnsi="Arial" w:cs="Arial"/>
          <w:color w:val="000000" w:themeColor="text1"/>
          <w:sz w:val="20"/>
          <w:szCs w:val="20"/>
        </w:rPr>
      </w:pPr>
      <w:r w:rsidRPr="00023460">
        <w:rPr>
          <w:rFonts w:ascii="Arial" w:hAnsi="Arial" w:cs="Arial"/>
          <w:sz w:val="20"/>
          <w:szCs w:val="20"/>
        </w:rPr>
        <w:t>The college has seen a slight drop in levels of attainment for FT FE learners aged 16-19 however, this remains higher than the sector and broadly on par with FT learners overall.  Many of these young learners progress successfully from school college provision, particularly in engineering and construction subjects.</w:t>
      </w:r>
    </w:p>
    <w:p w14:paraId="6BA4F297" w14:textId="36FBA3BF" w:rsidR="00023460" w:rsidRDefault="00023460" w:rsidP="00023460">
      <w:pPr>
        <w:spacing w:after="0" w:line="251" w:lineRule="auto"/>
        <w:rPr>
          <w:rFonts w:ascii="Arial" w:eastAsia="Calibri" w:hAnsi="Arial" w:cs="Arial"/>
          <w:color w:val="000000" w:themeColor="text1"/>
          <w:sz w:val="20"/>
          <w:szCs w:val="20"/>
        </w:rPr>
      </w:pPr>
    </w:p>
    <w:p w14:paraId="130570EE" w14:textId="77777777" w:rsidR="00023460" w:rsidRPr="00023460" w:rsidRDefault="00023460" w:rsidP="00023460">
      <w:pPr>
        <w:spacing w:after="0" w:line="251" w:lineRule="auto"/>
        <w:rPr>
          <w:rFonts w:ascii="Arial" w:eastAsia="Calibri" w:hAnsi="Arial" w:cs="Arial"/>
          <w:b/>
          <w:bCs/>
          <w:i/>
          <w:iCs/>
          <w:color w:val="000000" w:themeColor="text1"/>
          <w:sz w:val="20"/>
          <w:szCs w:val="20"/>
        </w:rPr>
      </w:pPr>
      <w:r w:rsidRPr="00023460">
        <w:rPr>
          <w:rFonts w:ascii="Arial" w:eastAsia="Calibri" w:hAnsi="Arial" w:cs="Arial"/>
          <w:b/>
          <w:bCs/>
          <w:i/>
          <w:iCs/>
          <w:color w:val="000000" w:themeColor="text1"/>
          <w:sz w:val="20"/>
          <w:szCs w:val="20"/>
        </w:rPr>
        <w:t>Attainment</w:t>
      </w:r>
    </w:p>
    <w:p w14:paraId="52CA1940" w14:textId="77777777" w:rsidR="00023460" w:rsidRPr="00023460" w:rsidRDefault="00023460" w:rsidP="00023460">
      <w:pPr>
        <w:spacing w:after="0" w:line="251" w:lineRule="auto"/>
        <w:rPr>
          <w:rFonts w:ascii="Arial" w:eastAsia="Calibri" w:hAnsi="Arial" w:cs="Arial"/>
          <w:color w:val="000000" w:themeColor="text1"/>
          <w:sz w:val="20"/>
          <w:szCs w:val="20"/>
        </w:rPr>
      </w:pPr>
    </w:p>
    <w:p w14:paraId="2E378E55" w14:textId="2000F4DA" w:rsidR="00023460" w:rsidRPr="00023460" w:rsidRDefault="00023460" w:rsidP="00023460">
      <w:pPr>
        <w:spacing w:after="0" w:line="251" w:lineRule="auto"/>
        <w:rPr>
          <w:rFonts w:ascii="Arial" w:eastAsia="Calibri" w:hAnsi="Arial" w:cs="Arial"/>
          <w:color w:val="000000" w:themeColor="text1"/>
          <w:sz w:val="20"/>
          <w:szCs w:val="20"/>
        </w:rPr>
      </w:pPr>
      <w:r w:rsidRPr="00023460">
        <w:rPr>
          <w:rFonts w:ascii="Arial" w:eastAsia="Calibri" w:hAnsi="Arial" w:cs="Arial"/>
          <w:color w:val="000000" w:themeColor="text1"/>
          <w:sz w:val="20"/>
          <w:szCs w:val="20"/>
        </w:rPr>
        <w:t xml:space="preserve">As mentioned </w:t>
      </w:r>
      <w:r w:rsidR="007C24C7">
        <w:rPr>
          <w:rFonts w:ascii="Arial" w:eastAsia="Calibri" w:hAnsi="Arial" w:cs="Arial"/>
          <w:color w:val="000000" w:themeColor="text1"/>
          <w:sz w:val="20"/>
          <w:szCs w:val="20"/>
        </w:rPr>
        <w:t>previously</w:t>
      </w:r>
      <w:r w:rsidRPr="00023460">
        <w:rPr>
          <w:rFonts w:ascii="Arial" w:eastAsia="Calibri" w:hAnsi="Arial" w:cs="Arial"/>
          <w:color w:val="000000" w:themeColor="text1"/>
          <w:sz w:val="20"/>
          <w:szCs w:val="20"/>
        </w:rPr>
        <w:t xml:space="preserve">, college staff have actively engaged and participated in the development of the regional strategy to improve attainment for mainstream and disadvantaged learners.  2018/19 has shown a small decrease in FT attainment rates, which strongly correlate with </w:t>
      </w:r>
      <w:r w:rsidR="007C24C7">
        <w:rPr>
          <w:rFonts w:ascii="Arial" w:eastAsia="Calibri" w:hAnsi="Arial" w:cs="Arial"/>
          <w:color w:val="000000" w:themeColor="text1"/>
          <w:sz w:val="20"/>
          <w:szCs w:val="20"/>
        </w:rPr>
        <w:t xml:space="preserve">the </w:t>
      </w:r>
      <w:r w:rsidRPr="00023460">
        <w:rPr>
          <w:rFonts w:ascii="Arial" w:eastAsia="Calibri" w:hAnsi="Arial" w:cs="Arial"/>
          <w:color w:val="000000" w:themeColor="text1"/>
          <w:sz w:val="20"/>
          <w:szCs w:val="20"/>
        </w:rPr>
        <w:t>increases in withdrawal rates.</w:t>
      </w:r>
      <w:r w:rsidR="007C24C7">
        <w:rPr>
          <w:rFonts w:ascii="Arial" w:eastAsia="Calibri" w:hAnsi="Arial" w:cs="Arial"/>
          <w:color w:val="000000" w:themeColor="text1"/>
          <w:sz w:val="20"/>
          <w:szCs w:val="20"/>
        </w:rPr>
        <w:t xml:space="preserve"> Continued focus will be placed on implementing regional strategy at local level to drive enhancement activity in this area.</w:t>
      </w:r>
      <w:r w:rsidRPr="00023460">
        <w:rPr>
          <w:rFonts w:ascii="Arial" w:eastAsia="Calibri" w:hAnsi="Arial" w:cs="Arial"/>
          <w:color w:val="000000" w:themeColor="text1"/>
          <w:sz w:val="20"/>
          <w:szCs w:val="20"/>
        </w:rPr>
        <w:t xml:space="preserve">   </w:t>
      </w:r>
    </w:p>
    <w:p w14:paraId="7035E85C" w14:textId="77777777" w:rsidR="0016769A" w:rsidRDefault="0016769A" w:rsidP="0016769A">
      <w:pPr>
        <w:spacing w:after="0" w:line="251" w:lineRule="auto"/>
        <w:rPr>
          <w:rFonts w:ascii="Arial" w:eastAsia="Calibri" w:hAnsi="Arial" w:cs="Arial"/>
          <w:color w:val="000000" w:themeColor="text1"/>
          <w:sz w:val="20"/>
          <w:szCs w:val="20"/>
        </w:rPr>
      </w:pPr>
    </w:p>
    <w:p w14:paraId="72D3F0C4" w14:textId="3C49070C" w:rsidR="0016769A" w:rsidRPr="00023460" w:rsidRDefault="0016769A" w:rsidP="0016769A">
      <w:pPr>
        <w:spacing w:after="0" w:line="251" w:lineRule="aut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College staff have participated in regional activity to jointly </w:t>
      </w:r>
      <w:r w:rsidRPr="00023460">
        <w:rPr>
          <w:rFonts w:ascii="Arial" w:eastAsia="Calibri" w:hAnsi="Arial" w:cs="Arial"/>
          <w:color w:val="000000" w:themeColor="text1"/>
          <w:sz w:val="20"/>
          <w:szCs w:val="20"/>
        </w:rPr>
        <w:t>evalua</w:t>
      </w:r>
      <w:r>
        <w:rPr>
          <w:rFonts w:ascii="Arial" w:eastAsia="Calibri" w:hAnsi="Arial" w:cs="Arial"/>
          <w:color w:val="000000" w:themeColor="text1"/>
          <w:sz w:val="20"/>
          <w:szCs w:val="20"/>
        </w:rPr>
        <w:t>te</w:t>
      </w:r>
      <w:r w:rsidRPr="00023460">
        <w:rPr>
          <w:rFonts w:ascii="Arial" w:eastAsia="Calibri" w:hAnsi="Arial" w:cs="Arial"/>
          <w:color w:val="000000" w:themeColor="text1"/>
          <w:sz w:val="20"/>
          <w:szCs w:val="20"/>
        </w:rPr>
        <w:t xml:space="preserve"> subject performance indicators and monitoring KPIs for specific learner groups, </w:t>
      </w:r>
      <w:r w:rsidR="007C24C7">
        <w:rPr>
          <w:rFonts w:ascii="Arial" w:eastAsia="Calibri" w:hAnsi="Arial" w:cs="Arial"/>
          <w:color w:val="000000" w:themeColor="text1"/>
          <w:sz w:val="20"/>
          <w:szCs w:val="20"/>
        </w:rPr>
        <w:t>including</w:t>
      </w:r>
      <w:r w:rsidRPr="00023460">
        <w:rPr>
          <w:rFonts w:ascii="Arial" w:eastAsia="Calibri" w:hAnsi="Arial" w:cs="Arial"/>
          <w:color w:val="000000" w:themeColor="text1"/>
          <w:sz w:val="20"/>
          <w:szCs w:val="20"/>
        </w:rPr>
        <w:t xml:space="preserve"> SIMD10 and Care experienced learners.  In 2018/19, three subject areas with PIs lower than sector performance and in some cases varying performance across individual partners were selected for joint evaluation - Care, Computing and Hospitality. College staff joined curriculum teams across the partnership to evaluate provision and identify challenges faced.  Teams valued the opportunity to share practice and ideas to enhance provision which informed local enhancement plans.  </w:t>
      </w:r>
      <w:r w:rsidR="007C24C7">
        <w:rPr>
          <w:rFonts w:ascii="Arial" w:eastAsia="Calibri" w:hAnsi="Arial" w:cs="Arial"/>
          <w:color w:val="000000" w:themeColor="text1"/>
          <w:sz w:val="20"/>
          <w:szCs w:val="20"/>
        </w:rPr>
        <w:t>These have included, for example</w:t>
      </w:r>
      <w:r w:rsidRPr="00023460">
        <w:rPr>
          <w:rFonts w:ascii="Arial" w:eastAsia="Calibri" w:hAnsi="Arial" w:cs="Arial"/>
          <w:color w:val="000000" w:themeColor="text1"/>
          <w:sz w:val="20"/>
          <w:szCs w:val="20"/>
        </w:rPr>
        <w:t xml:space="preserve">, changes to programme design </w:t>
      </w:r>
      <w:r w:rsidR="007C24C7">
        <w:rPr>
          <w:rFonts w:ascii="Arial" w:eastAsia="Calibri" w:hAnsi="Arial" w:cs="Arial"/>
          <w:color w:val="000000" w:themeColor="text1"/>
          <w:sz w:val="20"/>
          <w:szCs w:val="20"/>
        </w:rPr>
        <w:t xml:space="preserve">which </w:t>
      </w:r>
      <w:r w:rsidRPr="00023460">
        <w:rPr>
          <w:rFonts w:ascii="Arial" w:eastAsia="Calibri" w:hAnsi="Arial" w:cs="Arial"/>
          <w:color w:val="000000" w:themeColor="text1"/>
          <w:sz w:val="20"/>
          <w:szCs w:val="20"/>
        </w:rPr>
        <w:t>have been implemented for 2019</w:t>
      </w:r>
      <w:r w:rsidR="007C24C7">
        <w:rPr>
          <w:rFonts w:ascii="Arial" w:eastAsia="Calibri" w:hAnsi="Arial" w:cs="Arial"/>
          <w:color w:val="000000" w:themeColor="text1"/>
          <w:sz w:val="20"/>
          <w:szCs w:val="20"/>
        </w:rPr>
        <w:t xml:space="preserve">.  </w:t>
      </w:r>
      <w:proofErr w:type="gramStart"/>
      <w:r w:rsidR="007C24C7">
        <w:rPr>
          <w:rFonts w:ascii="Arial" w:eastAsia="Calibri" w:hAnsi="Arial" w:cs="Arial"/>
          <w:color w:val="000000" w:themeColor="text1"/>
          <w:sz w:val="20"/>
          <w:szCs w:val="20"/>
        </w:rPr>
        <w:t>As yet</w:t>
      </w:r>
      <w:proofErr w:type="gramEnd"/>
      <w:r w:rsidR="007C24C7">
        <w:rPr>
          <w:rFonts w:ascii="Arial" w:eastAsia="Calibri" w:hAnsi="Arial" w:cs="Arial"/>
          <w:color w:val="000000" w:themeColor="text1"/>
          <w:sz w:val="20"/>
          <w:szCs w:val="20"/>
        </w:rPr>
        <w:t xml:space="preserve">, </w:t>
      </w:r>
      <w:r w:rsidRPr="00023460">
        <w:rPr>
          <w:rFonts w:ascii="Arial" w:eastAsia="Calibri" w:hAnsi="Arial" w:cs="Arial"/>
          <w:color w:val="000000" w:themeColor="text1"/>
          <w:sz w:val="20"/>
          <w:szCs w:val="20"/>
        </w:rPr>
        <w:t xml:space="preserve">it is too early to assess the impact of these changes.   </w:t>
      </w:r>
    </w:p>
    <w:p w14:paraId="245C23CE" w14:textId="75D00E34" w:rsidR="00023460" w:rsidRDefault="00023460" w:rsidP="0016769A">
      <w:pPr>
        <w:spacing w:after="0" w:line="251" w:lineRule="auto"/>
        <w:rPr>
          <w:rFonts w:ascii="Arial" w:eastAsia="Calibri" w:hAnsi="Arial" w:cs="Arial"/>
          <w:color w:val="000000" w:themeColor="text1"/>
          <w:sz w:val="20"/>
          <w:szCs w:val="20"/>
        </w:rPr>
      </w:pPr>
    </w:p>
    <w:p w14:paraId="49BDE870" w14:textId="5D06F04C" w:rsidR="001C3046" w:rsidRPr="00023460" w:rsidRDefault="0016769A" w:rsidP="0016769A">
      <w:pPr>
        <w:spacing w:after="0" w:line="251" w:lineRule="auto"/>
        <w:rPr>
          <w:rFonts w:ascii="Arial" w:eastAsia="Calibri" w:hAnsi="Arial" w:cs="Arial"/>
          <w:color w:val="000000" w:themeColor="text1"/>
          <w:sz w:val="20"/>
          <w:szCs w:val="20"/>
        </w:rPr>
      </w:pPr>
      <w:r w:rsidRPr="00023460">
        <w:rPr>
          <w:rFonts w:ascii="Arial" w:eastAsia="Calibri" w:hAnsi="Arial" w:cs="Arial"/>
          <w:color w:val="000000" w:themeColor="text1"/>
          <w:sz w:val="20"/>
          <w:szCs w:val="20"/>
        </w:rPr>
        <w:t>Outcomes for FT care experienced learners have decreased significantly at local level and are linked to increases in</w:t>
      </w:r>
      <w:r w:rsidR="00107C40">
        <w:rPr>
          <w:rFonts w:ascii="Arial" w:eastAsia="Calibri" w:hAnsi="Arial" w:cs="Arial"/>
          <w:color w:val="000000" w:themeColor="text1"/>
          <w:sz w:val="20"/>
          <w:szCs w:val="20"/>
        </w:rPr>
        <w:t xml:space="preserve"> local</w:t>
      </w:r>
      <w:r w:rsidRPr="00023460">
        <w:rPr>
          <w:rFonts w:ascii="Arial" w:eastAsia="Calibri" w:hAnsi="Arial" w:cs="Arial"/>
          <w:color w:val="000000" w:themeColor="text1"/>
          <w:sz w:val="20"/>
          <w:szCs w:val="20"/>
        </w:rPr>
        <w:t xml:space="preserve"> withdrawal rates. The support team were actively involved in the development of a regional strategy to improve outcomes for care experienced learners and have shared good practice in this area, however, further work is required to implement the strategy at local level. </w:t>
      </w:r>
    </w:p>
    <w:p w14:paraId="21C4485B" w14:textId="77777777" w:rsidR="00023460" w:rsidRPr="00023460" w:rsidRDefault="00023460" w:rsidP="0016769A">
      <w:pPr>
        <w:spacing w:after="0" w:line="251" w:lineRule="auto"/>
        <w:rPr>
          <w:rFonts w:ascii="Arial" w:eastAsia="Calibri" w:hAnsi="Arial" w:cs="Arial"/>
          <w:color w:val="000000" w:themeColor="text1"/>
          <w:sz w:val="20"/>
          <w:szCs w:val="20"/>
        </w:rPr>
      </w:pPr>
    </w:p>
    <w:p w14:paraId="06ADDE77" w14:textId="7A5654DB" w:rsidR="00023460" w:rsidRPr="00023460" w:rsidRDefault="00023460" w:rsidP="00023460">
      <w:pPr>
        <w:spacing w:after="0" w:line="251" w:lineRule="auto"/>
        <w:rPr>
          <w:rFonts w:ascii="Arial" w:eastAsia="Calibri" w:hAnsi="Arial" w:cs="Arial"/>
          <w:color w:val="000000" w:themeColor="text1"/>
          <w:sz w:val="20"/>
          <w:szCs w:val="20"/>
        </w:rPr>
      </w:pPr>
      <w:r w:rsidRPr="00023460">
        <w:rPr>
          <w:rFonts w:ascii="Arial" w:eastAsia="Calibri" w:hAnsi="Arial" w:cs="Arial"/>
          <w:color w:val="000000" w:themeColor="text1"/>
          <w:sz w:val="20"/>
          <w:szCs w:val="20"/>
        </w:rPr>
        <w:t xml:space="preserve">Current systems for identifying and reporting on </w:t>
      </w:r>
      <w:r w:rsidR="0016769A">
        <w:rPr>
          <w:rFonts w:ascii="Arial" w:eastAsia="Calibri" w:hAnsi="Arial" w:cs="Arial"/>
          <w:color w:val="000000" w:themeColor="text1"/>
          <w:sz w:val="20"/>
          <w:szCs w:val="20"/>
        </w:rPr>
        <w:t>specific</w:t>
      </w:r>
      <w:r w:rsidRPr="00023460">
        <w:rPr>
          <w:rFonts w:ascii="Arial" w:eastAsia="Calibri" w:hAnsi="Arial" w:cs="Arial"/>
          <w:color w:val="000000" w:themeColor="text1"/>
          <w:sz w:val="20"/>
          <w:szCs w:val="20"/>
        </w:rPr>
        <w:t xml:space="preserve"> learner groups are resource intensive and work on developing regional systems to assist this has been delayed, but despite this our support teams have worked hard to provide the best service they can within the resource available.  Further work is required to evaluate the staff resource and job roles required to enable the college to respond to increasing demand for support services within the financial resource it has available and to develop systems to identify, monitor and support individuals and a few learner groups who experience barriers to learning</w:t>
      </w:r>
      <w:r w:rsidR="0016769A">
        <w:rPr>
          <w:rFonts w:ascii="Arial" w:eastAsia="Calibri" w:hAnsi="Arial" w:cs="Arial"/>
          <w:color w:val="000000" w:themeColor="text1"/>
          <w:sz w:val="20"/>
          <w:szCs w:val="20"/>
        </w:rPr>
        <w:t xml:space="preserve">.  </w:t>
      </w:r>
    </w:p>
    <w:p w14:paraId="573C3D04" w14:textId="77777777" w:rsidR="00023460" w:rsidRPr="00023460" w:rsidRDefault="00023460" w:rsidP="00023460">
      <w:pPr>
        <w:spacing w:after="0" w:line="251" w:lineRule="auto"/>
        <w:rPr>
          <w:rFonts w:ascii="Arial" w:eastAsia="Calibri" w:hAnsi="Arial" w:cs="Arial"/>
          <w:color w:val="000000" w:themeColor="text1"/>
          <w:sz w:val="20"/>
          <w:szCs w:val="20"/>
        </w:rPr>
      </w:pPr>
    </w:p>
    <w:p w14:paraId="3F03C56D" w14:textId="1EEFECF6" w:rsidR="00023460" w:rsidRPr="00570D6E" w:rsidRDefault="00023460" w:rsidP="00107C40">
      <w:pPr>
        <w:spacing w:after="0" w:line="251" w:lineRule="auto"/>
        <w:rPr>
          <w:rFonts w:ascii="Arial" w:eastAsia="Calibri" w:hAnsi="Arial" w:cs="Arial"/>
          <w:color w:val="000000" w:themeColor="text1"/>
          <w:sz w:val="20"/>
          <w:szCs w:val="20"/>
        </w:rPr>
      </w:pPr>
      <w:r w:rsidRPr="00570D6E">
        <w:rPr>
          <w:rFonts w:ascii="Arial" w:hAnsi="Arial" w:cs="Arial"/>
          <w:sz w:val="20"/>
          <w:szCs w:val="20"/>
        </w:rPr>
        <w:t>Detailed analysis of part time PIs has given a</w:t>
      </w:r>
      <w:r w:rsidR="00B30904">
        <w:rPr>
          <w:rFonts w:ascii="Arial" w:hAnsi="Arial" w:cs="Arial"/>
          <w:sz w:val="20"/>
          <w:szCs w:val="20"/>
        </w:rPr>
        <w:t>n</w:t>
      </w:r>
      <w:r w:rsidRPr="00570D6E">
        <w:rPr>
          <w:rFonts w:ascii="Arial" w:hAnsi="Arial" w:cs="Arial"/>
          <w:sz w:val="20"/>
          <w:szCs w:val="20"/>
        </w:rPr>
        <w:t xml:space="preserve"> insight into key areas for improvement, a substantive component of which is school/college provision.  </w:t>
      </w:r>
      <w:r w:rsidR="00107C40">
        <w:rPr>
          <w:rFonts w:ascii="Arial" w:hAnsi="Arial" w:cs="Arial"/>
          <w:sz w:val="20"/>
          <w:szCs w:val="20"/>
        </w:rPr>
        <w:t>R</w:t>
      </w:r>
      <w:r w:rsidR="00107C40" w:rsidRPr="00023460">
        <w:rPr>
          <w:rFonts w:ascii="Arial" w:hAnsi="Arial" w:cs="Arial"/>
          <w:sz w:val="20"/>
          <w:szCs w:val="20"/>
        </w:rPr>
        <w:t xml:space="preserve">ates of partial success have increased significantly for a small number of school college programmes, resulting in a </w:t>
      </w:r>
      <w:r w:rsidR="00107C40">
        <w:rPr>
          <w:rFonts w:ascii="Arial" w:hAnsi="Arial" w:cs="Arial"/>
          <w:sz w:val="20"/>
          <w:szCs w:val="20"/>
        </w:rPr>
        <w:t xml:space="preserve">significant </w:t>
      </w:r>
      <w:r w:rsidR="00107C40" w:rsidRPr="00023460">
        <w:rPr>
          <w:rFonts w:ascii="Arial" w:hAnsi="Arial" w:cs="Arial"/>
          <w:sz w:val="20"/>
          <w:szCs w:val="20"/>
        </w:rPr>
        <w:t>drop in PT attainment overall</w:t>
      </w:r>
      <w:r w:rsidR="00B30904">
        <w:rPr>
          <w:rFonts w:ascii="Arial" w:hAnsi="Arial" w:cs="Arial"/>
          <w:sz w:val="20"/>
          <w:szCs w:val="20"/>
        </w:rPr>
        <w:t xml:space="preserve">.  </w:t>
      </w:r>
      <w:r w:rsidRPr="00570D6E">
        <w:rPr>
          <w:rFonts w:ascii="Arial" w:hAnsi="Arial" w:cs="Arial"/>
          <w:sz w:val="20"/>
          <w:szCs w:val="20"/>
        </w:rPr>
        <w:t>Work at regional level to develop strategies for improving outcomes for care experienced and SIMD10 learners has shown that there is a wider attainment gap for school learners from these backgrounds</w:t>
      </w:r>
      <w:r w:rsidR="00107C40">
        <w:rPr>
          <w:rFonts w:ascii="Arial" w:hAnsi="Arial" w:cs="Arial"/>
          <w:sz w:val="20"/>
          <w:szCs w:val="20"/>
        </w:rPr>
        <w:t xml:space="preserve"> and this is borne out by the drop in </w:t>
      </w:r>
      <w:r w:rsidR="00B30904">
        <w:rPr>
          <w:rFonts w:ascii="Arial" w:hAnsi="Arial" w:cs="Arial"/>
          <w:sz w:val="20"/>
          <w:szCs w:val="20"/>
        </w:rPr>
        <w:t>attainment</w:t>
      </w:r>
      <w:r w:rsidR="00107C40">
        <w:rPr>
          <w:rFonts w:ascii="Arial" w:hAnsi="Arial" w:cs="Arial"/>
          <w:sz w:val="20"/>
          <w:szCs w:val="20"/>
        </w:rPr>
        <w:t xml:space="preserve"> </w:t>
      </w:r>
      <w:r w:rsidR="00B30904">
        <w:rPr>
          <w:rFonts w:ascii="Arial" w:hAnsi="Arial" w:cs="Arial"/>
          <w:sz w:val="20"/>
          <w:szCs w:val="20"/>
        </w:rPr>
        <w:t xml:space="preserve">for PT </w:t>
      </w:r>
      <w:r w:rsidR="00107C40">
        <w:rPr>
          <w:rFonts w:ascii="Arial" w:hAnsi="Arial" w:cs="Arial"/>
          <w:sz w:val="20"/>
          <w:szCs w:val="20"/>
        </w:rPr>
        <w:t>SIMD10</w:t>
      </w:r>
      <w:r w:rsidR="00B30904">
        <w:rPr>
          <w:rFonts w:ascii="Arial" w:hAnsi="Arial" w:cs="Arial"/>
          <w:sz w:val="20"/>
          <w:szCs w:val="20"/>
        </w:rPr>
        <w:t xml:space="preserve"> learners, </w:t>
      </w:r>
      <w:r w:rsidR="007C24C7">
        <w:rPr>
          <w:rFonts w:ascii="Arial" w:hAnsi="Arial" w:cs="Arial"/>
          <w:sz w:val="20"/>
          <w:szCs w:val="20"/>
        </w:rPr>
        <w:t>compared to</w:t>
      </w:r>
      <w:r w:rsidR="00B30904">
        <w:rPr>
          <w:rFonts w:ascii="Arial" w:hAnsi="Arial" w:cs="Arial"/>
          <w:sz w:val="20"/>
          <w:szCs w:val="20"/>
        </w:rPr>
        <w:t xml:space="preserve"> FT SIMD attainment </w:t>
      </w:r>
      <w:r w:rsidR="007C24C7">
        <w:rPr>
          <w:rFonts w:ascii="Arial" w:hAnsi="Arial" w:cs="Arial"/>
          <w:sz w:val="20"/>
          <w:szCs w:val="20"/>
        </w:rPr>
        <w:t xml:space="preserve">which </w:t>
      </w:r>
      <w:r w:rsidR="00B30904">
        <w:rPr>
          <w:rFonts w:ascii="Arial" w:hAnsi="Arial" w:cs="Arial"/>
          <w:sz w:val="20"/>
          <w:szCs w:val="20"/>
        </w:rPr>
        <w:t>is on par with FT attainment overall.</w:t>
      </w:r>
      <w:r w:rsidRPr="00570D6E">
        <w:rPr>
          <w:rFonts w:ascii="Arial" w:hAnsi="Arial" w:cs="Arial"/>
          <w:sz w:val="20"/>
          <w:szCs w:val="20"/>
        </w:rPr>
        <w:t xml:space="preserve">  Focus on</w:t>
      </w:r>
      <w:r w:rsidR="00107C40">
        <w:rPr>
          <w:rFonts w:ascii="Arial" w:hAnsi="Arial" w:cs="Arial"/>
          <w:sz w:val="20"/>
          <w:szCs w:val="20"/>
        </w:rPr>
        <w:t xml:space="preserve"> </w:t>
      </w:r>
      <w:r w:rsidRPr="00570D6E">
        <w:rPr>
          <w:rFonts w:ascii="Arial" w:hAnsi="Arial" w:cs="Arial"/>
          <w:sz w:val="20"/>
          <w:szCs w:val="20"/>
        </w:rPr>
        <w:t>this area a</w:t>
      </w:r>
      <w:r w:rsidR="00107C40">
        <w:rPr>
          <w:rFonts w:ascii="Arial" w:hAnsi="Arial" w:cs="Arial"/>
          <w:sz w:val="20"/>
          <w:szCs w:val="20"/>
        </w:rPr>
        <w:t xml:space="preserve">nd implementing </w:t>
      </w:r>
      <w:r w:rsidR="007C24C7">
        <w:rPr>
          <w:rFonts w:ascii="Arial" w:hAnsi="Arial" w:cs="Arial"/>
          <w:sz w:val="20"/>
          <w:szCs w:val="20"/>
        </w:rPr>
        <w:t xml:space="preserve">the </w:t>
      </w:r>
      <w:r w:rsidR="00107C40">
        <w:rPr>
          <w:rFonts w:ascii="Arial" w:hAnsi="Arial" w:cs="Arial"/>
          <w:sz w:val="20"/>
          <w:szCs w:val="20"/>
        </w:rPr>
        <w:t xml:space="preserve">regional </w:t>
      </w:r>
      <w:r w:rsidR="007C24C7">
        <w:rPr>
          <w:rFonts w:ascii="Arial" w:hAnsi="Arial" w:cs="Arial"/>
          <w:sz w:val="20"/>
          <w:szCs w:val="20"/>
        </w:rPr>
        <w:t xml:space="preserve">attainment </w:t>
      </w:r>
      <w:r w:rsidR="00107C40">
        <w:rPr>
          <w:rFonts w:ascii="Arial" w:hAnsi="Arial" w:cs="Arial"/>
          <w:sz w:val="20"/>
          <w:szCs w:val="20"/>
        </w:rPr>
        <w:t>strategy</w:t>
      </w:r>
      <w:r w:rsidRPr="00570D6E">
        <w:rPr>
          <w:rFonts w:ascii="Arial" w:hAnsi="Arial" w:cs="Arial"/>
          <w:sz w:val="20"/>
          <w:szCs w:val="20"/>
        </w:rPr>
        <w:t xml:space="preserve"> will continue in 2019/20</w:t>
      </w:r>
      <w:r w:rsidR="00107C40">
        <w:rPr>
          <w:rFonts w:ascii="Arial" w:hAnsi="Arial" w:cs="Arial"/>
          <w:sz w:val="20"/>
          <w:szCs w:val="20"/>
        </w:rPr>
        <w:t>.</w:t>
      </w:r>
    </w:p>
    <w:p w14:paraId="0EB9B8DF" w14:textId="77777777" w:rsidR="00023460" w:rsidRPr="00023460" w:rsidRDefault="00023460" w:rsidP="00023460">
      <w:pPr>
        <w:spacing w:after="0"/>
        <w:rPr>
          <w:rFonts w:ascii="Arial" w:hAnsi="Arial" w:cs="Arial"/>
          <w:sz w:val="20"/>
          <w:szCs w:val="20"/>
        </w:rPr>
      </w:pPr>
    </w:p>
    <w:p w14:paraId="71D04DED" w14:textId="029C4D8E" w:rsidR="00023460" w:rsidRPr="00023460" w:rsidRDefault="00107C40" w:rsidP="00023460">
      <w:pPr>
        <w:spacing w:after="0"/>
        <w:rPr>
          <w:rFonts w:ascii="Arial" w:hAnsi="Arial" w:cs="Arial"/>
          <w:b/>
          <w:bCs/>
          <w:i/>
          <w:iCs/>
          <w:sz w:val="20"/>
          <w:szCs w:val="20"/>
        </w:rPr>
      </w:pPr>
      <w:r>
        <w:rPr>
          <w:rFonts w:ascii="Arial" w:hAnsi="Arial" w:cs="Arial"/>
          <w:b/>
          <w:bCs/>
          <w:i/>
          <w:iCs/>
          <w:sz w:val="20"/>
          <w:szCs w:val="20"/>
        </w:rPr>
        <w:t>P</w:t>
      </w:r>
      <w:r w:rsidR="00023460" w:rsidRPr="00023460">
        <w:rPr>
          <w:rFonts w:ascii="Arial" w:hAnsi="Arial" w:cs="Arial"/>
          <w:b/>
          <w:bCs/>
          <w:i/>
          <w:iCs/>
          <w:sz w:val="20"/>
          <w:szCs w:val="20"/>
        </w:rPr>
        <w:t>rogression</w:t>
      </w:r>
    </w:p>
    <w:p w14:paraId="5F4A7AC0" w14:textId="77777777" w:rsidR="00023460" w:rsidRPr="00023460" w:rsidRDefault="00023460" w:rsidP="00023460">
      <w:pPr>
        <w:spacing w:after="0"/>
        <w:rPr>
          <w:rFonts w:ascii="Arial" w:hAnsi="Arial" w:cs="Arial"/>
          <w:sz w:val="20"/>
          <w:szCs w:val="20"/>
        </w:rPr>
      </w:pPr>
    </w:p>
    <w:p w14:paraId="0A4A84A6" w14:textId="5BA89869" w:rsidR="00B30904" w:rsidRDefault="00B30904" w:rsidP="00B84AEF">
      <w:pPr>
        <w:spacing w:after="0"/>
        <w:rPr>
          <w:rFonts w:ascii="Arial" w:hAnsi="Arial" w:cs="Arial"/>
          <w:sz w:val="20"/>
          <w:szCs w:val="20"/>
        </w:rPr>
      </w:pPr>
      <w:r w:rsidRPr="00B30904">
        <w:rPr>
          <w:rFonts w:ascii="Arial" w:hAnsi="Arial" w:cs="Arial"/>
          <w:sz w:val="20"/>
          <w:szCs w:val="20"/>
        </w:rPr>
        <w:t xml:space="preserve">Almost all (94%) students with a confirmed destination progress in to work, apprenticeships or further study.  The number of college students who progress </w:t>
      </w:r>
      <w:r w:rsidR="007C24C7" w:rsidRPr="00B30904">
        <w:rPr>
          <w:rFonts w:ascii="Arial" w:hAnsi="Arial" w:cs="Arial"/>
          <w:sz w:val="20"/>
          <w:szCs w:val="20"/>
        </w:rPr>
        <w:t>into</w:t>
      </w:r>
      <w:r w:rsidRPr="00B30904">
        <w:rPr>
          <w:rFonts w:ascii="Arial" w:hAnsi="Arial" w:cs="Arial"/>
          <w:sz w:val="20"/>
          <w:szCs w:val="20"/>
        </w:rPr>
        <w:t xml:space="preserve"> work </w:t>
      </w:r>
      <w:r>
        <w:rPr>
          <w:rFonts w:ascii="Arial" w:hAnsi="Arial" w:cs="Arial"/>
          <w:sz w:val="20"/>
          <w:szCs w:val="20"/>
        </w:rPr>
        <w:t xml:space="preserve">has increased </w:t>
      </w:r>
      <w:r w:rsidRPr="00B30904">
        <w:rPr>
          <w:rFonts w:ascii="Arial" w:hAnsi="Arial" w:cs="Arial"/>
          <w:sz w:val="20"/>
          <w:szCs w:val="20"/>
        </w:rPr>
        <w:t>(4</w:t>
      </w:r>
      <w:r>
        <w:rPr>
          <w:rFonts w:ascii="Arial" w:hAnsi="Arial" w:cs="Arial"/>
          <w:sz w:val="20"/>
          <w:szCs w:val="20"/>
        </w:rPr>
        <w:t>1.5</w:t>
      </w:r>
      <w:r w:rsidRPr="00B30904">
        <w:rPr>
          <w:rFonts w:ascii="Arial" w:hAnsi="Arial" w:cs="Arial"/>
          <w:sz w:val="20"/>
          <w:szCs w:val="20"/>
        </w:rPr>
        <w:t>%)</w:t>
      </w:r>
      <w:r>
        <w:rPr>
          <w:rFonts w:ascii="Arial" w:hAnsi="Arial" w:cs="Arial"/>
          <w:sz w:val="20"/>
          <w:szCs w:val="20"/>
        </w:rPr>
        <w:t xml:space="preserve"> and </w:t>
      </w:r>
      <w:r w:rsidRPr="00B30904">
        <w:rPr>
          <w:rFonts w:ascii="Arial" w:hAnsi="Arial" w:cs="Arial"/>
          <w:sz w:val="20"/>
          <w:szCs w:val="20"/>
        </w:rPr>
        <w:t>is one of the highest in the sector</w:t>
      </w:r>
      <w:r>
        <w:rPr>
          <w:rFonts w:ascii="Arial" w:hAnsi="Arial" w:cs="Arial"/>
          <w:sz w:val="20"/>
          <w:szCs w:val="20"/>
        </w:rPr>
        <w:t xml:space="preserve">, </w:t>
      </w:r>
      <w:r>
        <w:rPr>
          <w:rFonts w:ascii="Arial" w:hAnsi="Arial" w:cs="Arial"/>
          <w:sz w:val="20"/>
          <w:szCs w:val="20"/>
        </w:rPr>
        <w:lastRenderedPageBreak/>
        <w:t>sitting</w:t>
      </w:r>
      <w:r w:rsidRPr="00B30904">
        <w:rPr>
          <w:rFonts w:ascii="Arial" w:hAnsi="Arial" w:cs="Arial"/>
          <w:sz w:val="20"/>
          <w:szCs w:val="20"/>
        </w:rPr>
        <w:t xml:space="preserve"> 20 percentage points higher than sector average.  Curriculum delivery models which focus on the development of essential skills and provide significant work experience either through work placement or realistic working environments contribute to this success</w:t>
      </w:r>
      <w:r w:rsidR="003B79F7">
        <w:rPr>
          <w:rFonts w:ascii="Arial" w:hAnsi="Arial" w:cs="Arial"/>
          <w:sz w:val="20"/>
          <w:szCs w:val="20"/>
        </w:rPr>
        <w:t>.   The college has continued to increase the number of programmes with substantial work experience as part of their programme of study, in line with the newly developed regional work experience strategy.</w:t>
      </w:r>
    </w:p>
    <w:p w14:paraId="3A0C15CD" w14:textId="77777777" w:rsidR="00B84AEF" w:rsidRPr="00B30904" w:rsidRDefault="00B84AEF" w:rsidP="00B84AEF">
      <w:pPr>
        <w:spacing w:after="0"/>
        <w:rPr>
          <w:rFonts w:ascii="Arial" w:hAnsi="Arial" w:cs="Arial"/>
          <w:sz w:val="20"/>
          <w:szCs w:val="20"/>
        </w:rPr>
      </w:pPr>
    </w:p>
    <w:p w14:paraId="5157D72E" w14:textId="5AC749C7" w:rsidR="00FC44DA" w:rsidRDefault="00FC44DA" w:rsidP="00FC44DA">
      <w:pPr>
        <w:spacing w:after="0" w:line="251" w:lineRule="auto"/>
        <w:rPr>
          <w:rFonts w:ascii="Arial" w:hAnsi="Arial" w:cs="Arial"/>
          <w:sz w:val="20"/>
          <w:szCs w:val="20"/>
        </w:rPr>
      </w:pPr>
      <w:r>
        <w:rPr>
          <w:rFonts w:ascii="Arial" w:hAnsi="Arial" w:cs="Arial"/>
          <w:sz w:val="20"/>
          <w:szCs w:val="20"/>
        </w:rPr>
        <w:t xml:space="preserve">Successes in progression to employment and the increase in uptake in foundation apprenticeships and MAs has resulted in more limited progression to FT HE programmes.   Consequently, the college is reviewing its HE curriculum to ensure it better matches the CPD requirements and delivery modes for those in employment.  </w:t>
      </w:r>
    </w:p>
    <w:p w14:paraId="5FE44A94" w14:textId="77777777" w:rsidR="00FC44DA" w:rsidRDefault="00FC44DA" w:rsidP="00FC44DA">
      <w:pPr>
        <w:spacing w:after="0" w:line="251" w:lineRule="auto"/>
        <w:rPr>
          <w:rFonts w:ascii="Arial" w:eastAsia="Calibri" w:hAnsi="Arial" w:cs="Arial"/>
          <w:color w:val="000000" w:themeColor="text1"/>
          <w:sz w:val="20"/>
          <w:szCs w:val="20"/>
        </w:rPr>
      </w:pPr>
    </w:p>
    <w:p w14:paraId="4520991A" w14:textId="75E3D135" w:rsidR="00023460" w:rsidRPr="00023460" w:rsidRDefault="00DF4D95" w:rsidP="00FC44DA">
      <w:pPr>
        <w:spacing w:after="0"/>
        <w:rPr>
          <w:rFonts w:ascii="Arial" w:hAnsi="Arial" w:cs="Arial"/>
          <w:sz w:val="20"/>
          <w:szCs w:val="20"/>
        </w:rPr>
      </w:pPr>
      <w:r>
        <w:rPr>
          <w:rFonts w:ascii="Arial" w:hAnsi="Arial" w:cs="Arial"/>
          <w:sz w:val="20"/>
          <w:szCs w:val="20"/>
          <w:lang w:val="en-IE"/>
        </w:rPr>
        <w:t>T</w:t>
      </w:r>
      <w:r w:rsidRPr="00DF4D95">
        <w:rPr>
          <w:rFonts w:ascii="Arial" w:hAnsi="Arial" w:cs="Arial"/>
          <w:sz w:val="20"/>
          <w:szCs w:val="20"/>
          <w:lang w:val="en-IE"/>
        </w:rPr>
        <w:t>he development of a regional W</w:t>
      </w:r>
      <w:r>
        <w:rPr>
          <w:rFonts w:ascii="Arial" w:hAnsi="Arial" w:cs="Arial"/>
          <w:sz w:val="20"/>
          <w:szCs w:val="20"/>
          <w:lang w:val="en-IE"/>
        </w:rPr>
        <w:t xml:space="preserve">ork </w:t>
      </w:r>
      <w:r w:rsidRPr="00DF4D95">
        <w:rPr>
          <w:rFonts w:ascii="Arial" w:hAnsi="Arial" w:cs="Arial"/>
          <w:sz w:val="20"/>
          <w:szCs w:val="20"/>
          <w:lang w:val="en-IE"/>
        </w:rPr>
        <w:t>B</w:t>
      </w:r>
      <w:r>
        <w:rPr>
          <w:rFonts w:ascii="Arial" w:hAnsi="Arial" w:cs="Arial"/>
          <w:sz w:val="20"/>
          <w:szCs w:val="20"/>
          <w:lang w:val="en-IE"/>
        </w:rPr>
        <w:t xml:space="preserve">ased </w:t>
      </w:r>
      <w:r w:rsidRPr="00DF4D95">
        <w:rPr>
          <w:rFonts w:ascii="Arial" w:hAnsi="Arial" w:cs="Arial"/>
          <w:sz w:val="20"/>
          <w:szCs w:val="20"/>
          <w:lang w:val="en-IE"/>
        </w:rPr>
        <w:t>L</w:t>
      </w:r>
      <w:r>
        <w:rPr>
          <w:rFonts w:ascii="Arial" w:hAnsi="Arial" w:cs="Arial"/>
          <w:sz w:val="20"/>
          <w:szCs w:val="20"/>
          <w:lang w:val="en-IE"/>
        </w:rPr>
        <w:t>earning</w:t>
      </w:r>
      <w:r w:rsidRPr="00DF4D95">
        <w:rPr>
          <w:rFonts w:ascii="Arial" w:hAnsi="Arial" w:cs="Arial"/>
          <w:sz w:val="20"/>
          <w:szCs w:val="20"/>
          <w:lang w:val="en-IE"/>
        </w:rPr>
        <w:t xml:space="preserve"> Hub and single contracts for Foundation, Modern and Graduate Apprenticeships</w:t>
      </w:r>
      <w:r>
        <w:rPr>
          <w:rFonts w:ascii="Arial" w:hAnsi="Arial" w:cs="Arial"/>
          <w:sz w:val="20"/>
          <w:szCs w:val="20"/>
          <w:lang w:val="en-IE"/>
        </w:rPr>
        <w:t xml:space="preserve"> has resulted in regional partners, within the sco</w:t>
      </w:r>
      <w:r w:rsidRPr="00DF4D95">
        <w:rPr>
          <w:rFonts w:ascii="Arial" w:hAnsi="Arial" w:cs="Arial"/>
          <w:sz w:val="20"/>
          <w:szCs w:val="20"/>
          <w:lang w:val="en-IE"/>
        </w:rPr>
        <w:t xml:space="preserve">pe of these contracts, working collaboratively to maximise contract size and value, placing apprenticeships according to demand rather than historic academic partner practice. </w:t>
      </w:r>
      <w:r w:rsidR="00FC44DA">
        <w:rPr>
          <w:rFonts w:ascii="Arial" w:hAnsi="Arial" w:cs="Arial"/>
          <w:sz w:val="20"/>
          <w:szCs w:val="20"/>
          <w:lang w:val="en-IE"/>
        </w:rPr>
        <w:t xml:space="preserve">In 2018/19, the </w:t>
      </w:r>
      <w:r w:rsidR="00B84AEF" w:rsidRPr="00B84AEF">
        <w:rPr>
          <w:rFonts w:ascii="Arial" w:hAnsi="Arial" w:cs="Arial"/>
          <w:sz w:val="20"/>
          <w:szCs w:val="20"/>
          <w:lang w:val="en-IE"/>
        </w:rPr>
        <w:t xml:space="preserve">college </w:t>
      </w:r>
      <w:r w:rsidR="00FC44DA">
        <w:rPr>
          <w:rFonts w:ascii="Arial" w:hAnsi="Arial" w:cs="Arial"/>
          <w:sz w:val="20"/>
          <w:szCs w:val="20"/>
          <w:lang w:val="en-IE"/>
        </w:rPr>
        <w:t>saw</w:t>
      </w:r>
      <w:r w:rsidR="00B84AEF" w:rsidRPr="00B84AEF">
        <w:rPr>
          <w:rFonts w:ascii="Arial" w:hAnsi="Arial" w:cs="Arial"/>
          <w:sz w:val="20"/>
          <w:szCs w:val="20"/>
          <w:lang w:val="en-IE"/>
        </w:rPr>
        <w:t xml:space="preserve"> continued growth in </w:t>
      </w:r>
      <w:r w:rsidR="007C24C7">
        <w:rPr>
          <w:rFonts w:ascii="Arial" w:hAnsi="Arial" w:cs="Arial"/>
          <w:sz w:val="20"/>
          <w:szCs w:val="20"/>
          <w:lang w:val="en-IE"/>
        </w:rPr>
        <w:t xml:space="preserve">the number of students on </w:t>
      </w:r>
      <w:r w:rsidR="00B84AEF" w:rsidRPr="00B84AEF">
        <w:rPr>
          <w:rFonts w:ascii="Arial" w:hAnsi="Arial" w:cs="Arial"/>
          <w:sz w:val="20"/>
          <w:szCs w:val="20"/>
          <w:lang w:val="en-IE"/>
        </w:rPr>
        <w:t>Modern Apprenticeship</w:t>
      </w:r>
      <w:r w:rsidR="007C24C7">
        <w:rPr>
          <w:rFonts w:ascii="Arial" w:hAnsi="Arial" w:cs="Arial"/>
          <w:sz w:val="20"/>
          <w:szCs w:val="20"/>
          <w:lang w:val="en-IE"/>
        </w:rPr>
        <w:t>s</w:t>
      </w:r>
      <w:r w:rsidR="00FC44DA">
        <w:rPr>
          <w:rFonts w:ascii="Arial" w:hAnsi="Arial" w:cs="Arial"/>
          <w:sz w:val="20"/>
          <w:szCs w:val="20"/>
          <w:lang w:val="en-IE"/>
        </w:rPr>
        <w:t xml:space="preserve"> (156)</w:t>
      </w:r>
      <w:r w:rsidR="00B84AEF" w:rsidRPr="00B84AEF">
        <w:rPr>
          <w:rFonts w:ascii="Arial" w:hAnsi="Arial" w:cs="Arial"/>
          <w:sz w:val="20"/>
          <w:szCs w:val="20"/>
          <w:lang w:val="en-IE"/>
        </w:rPr>
        <w:t xml:space="preserve"> through its partnership with employers, SDS and DYW North Highland; and</w:t>
      </w:r>
      <w:r w:rsidR="00FC44DA">
        <w:rPr>
          <w:rFonts w:ascii="Arial" w:hAnsi="Arial" w:cs="Arial"/>
          <w:sz w:val="20"/>
          <w:szCs w:val="20"/>
          <w:lang w:val="en-IE"/>
        </w:rPr>
        <w:t xml:space="preserve"> benefitted from the regional approach when it required to increase the number of MA places mid-year due to employer demand</w:t>
      </w:r>
      <w:r w:rsidR="007C24C7">
        <w:rPr>
          <w:rFonts w:ascii="Arial" w:hAnsi="Arial" w:cs="Arial"/>
          <w:sz w:val="20"/>
          <w:szCs w:val="20"/>
          <w:lang w:val="en-IE"/>
        </w:rPr>
        <w:t>.</w:t>
      </w:r>
    </w:p>
    <w:p w14:paraId="279F3353" w14:textId="77777777" w:rsidR="00FC44DA" w:rsidRDefault="00FC44DA" w:rsidP="00FC44DA">
      <w:pPr>
        <w:spacing w:after="0"/>
        <w:rPr>
          <w:rFonts w:ascii="Arial" w:hAnsi="Arial" w:cs="Arial"/>
          <w:sz w:val="20"/>
          <w:szCs w:val="20"/>
        </w:rPr>
      </w:pPr>
    </w:p>
    <w:p w14:paraId="0E9E4B4C" w14:textId="0CA93ADC" w:rsidR="00023460" w:rsidRPr="00023460" w:rsidRDefault="00AC337D" w:rsidP="00B84AEF">
      <w:pPr>
        <w:spacing w:after="0"/>
        <w:rPr>
          <w:rFonts w:ascii="Arial" w:hAnsi="Arial" w:cs="Arial"/>
          <w:sz w:val="20"/>
          <w:szCs w:val="20"/>
        </w:rPr>
      </w:pPr>
      <w:r>
        <w:rPr>
          <w:rFonts w:ascii="Arial" w:hAnsi="Arial" w:cs="Arial"/>
          <w:sz w:val="20"/>
          <w:szCs w:val="20"/>
        </w:rPr>
        <w:t xml:space="preserve">As part of the regional harmonisation of quality arrangements, college staff have worked extensively with partner </w:t>
      </w:r>
      <w:r w:rsidR="007C24C7">
        <w:rPr>
          <w:rFonts w:ascii="Arial" w:hAnsi="Arial" w:cs="Arial"/>
          <w:sz w:val="20"/>
          <w:szCs w:val="20"/>
        </w:rPr>
        <w:t>colleagues</w:t>
      </w:r>
      <w:r>
        <w:rPr>
          <w:rFonts w:ascii="Arial" w:hAnsi="Arial" w:cs="Arial"/>
          <w:sz w:val="20"/>
          <w:szCs w:val="20"/>
        </w:rPr>
        <w:t xml:space="preserve"> to develop a regional strategy to improve response and satisfaction rates for the Student Satisfaction and Engagement Survey and develop regional benchmarks.  Despite </w:t>
      </w:r>
      <w:r w:rsidR="00A0390A">
        <w:rPr>
          <w:rFonts w:ascii="Arial" w:hAnsi="Arial" w:cs="Arial"/>
          <w:sz w:val="20"/>
          <w:szCs w:val="20"/>
        </w:rPr>
        <w:t xml:space="preserve">doubling </w:t>
      </w:r>
      <w:r>
        <w:rPr>
          <w:rFonts w:ascii="Arial" w:hAnsi="Arial" w:cs="Arial"/>
          <w:sz w:val="20"/>
          <w:szCs w:val="20"/>
        </w:rPr>
        <w:t>increases in response rate</w:t>
      </w:r>
      <w:r w:rsidR="00A0390A">
        <w:rPr>
          <w:rFonts w:ascii="Arial" w:hAnsi="Arial" w:cs="Arial"/>
          <w:sz w:val="20"/>
          <w:szCs w:val="20"/>
        </w:rPr>
        <w:t>s, ther</w:t>
      </w:r>
      <w:r w:rsidR="00AD4AD5">
        <w:rPr>
          <w:rFonts w:ascii="Arial" w:hAnsi="Arial" w:cs="Arial"/>
          <w:sz w:val="20"/>
          <w:szCs w:val="20"/>
        </w:rPr>
        <w:t>e</w:t>
      </w:r>
      <w:r w:rsidR="00A0390A">
        <w:rPr>
          <w:rFonts w:ascii="Arial" w:hAnsi="Arial" w:cs="Arial"/>
          <w:sz w:val="20"/>
          <w:szCs w:val="20"/>
        </w:rPr>
        <w:t xml:space="preserve"> has been a slight drop in overall college satisfaction rates to 94%.  T</w:t>
      </w:r>
      <w:r>
        <w:rPr>
          <w:rFonts w:ascii="Arial" w:hAnsi="Arial" w:cs="Arial"/>
          <w:sz w:val="20"/>
          <w:szCs w:val="20"/>
        </w:rPr>
        <w:t xml:space="preserve">his remains an area for development identified in the college enhancement plan.  </w:t>
      </w:r>
    </w:p>
    <w:p w14:paraId="69BB55B5" w14:textId="77777777" w:rsidR="00023460" w:rsidRPr="00023460" w:rsidRDefault="00023460" w:rsidP="003B79F7">
      <w:pPr>
        <w:spacing w:after="0"/>
        <w:rPr>
          <w:rFonts w:ascii="Arial" w:hAnsi="Arial" w:cs="Arial"/>
          <w:sz w:val="20"/>
          <w:szCs w:val="20"/>
        </w:rPr>
      </w:pPr>
    </w:p>
    <w:p w14:paraId="2846840F" w14:textId="77777777" w:rsidR="005A3566" w:rsidRPr="00023460" w:rsidRDefault="005A3566" w:rsidP="00023460">
      <w:pPr>
        <w:rPr>
          <w:rFonts w:ascii="Arial" w:hAnsi="Arial" w:cs="Arial"/>
          <w:sz w:val="20"/>
          <w:szCs w:val="20"/>
        </w:rPr>
      </w:pPr>
    </w:p>
    <w:sectPr w:rsidR="005A3566" w:rsidRPr="00023460" w:rsidSect="00023460">
      <w:footerReference w:type="default" r:id="rId9"/>
      <w:pgSz w:w="11906" w:h="16838" w:code="9"/>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26A97" w14:textId="77777777" w:rsidR="00D144F2" w:rsidRDefault="00D144F2" w:rsidP="00FB35AB">
      <w:pPr>
        <w:spacing w:after="0" w:line="240" w:lineRule="auto"/>
      </w:pPr>
      <w:r>
        <w:separator/>
      </w:r>
    </w:p>
  </w:endnote>
  <w:endnote w:type="continuationSeparator" w:id="0">
    <w:p w14:paraId="168F666B" w14:textId="77777777" w:rsidR="00D144F2" w:rsidRDefault="00D144F2" w:rsidP="00FB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2BE4" w14:textId="6B6EE913" w:rsidR="00E62E4E" w:rsidRPr="00F221D3" w:rsidRDefault="00CA71AC" w:rsidP="00F77AE4">
    <w:pPr>
      <w:pStyle w:val="Footer"/>
      <w:rPr>
        <w:rFonts w:ascii="Arial" w:hAnsi="Arial" w:cs="Arial"/>
        <w:sz w:val="14"/>
        <w:szCs w:val="14"/>
        <w:lang w:val="en-IE"/>
      </w:rPr>
    </w:pPr>
    <w:r w:rsidRPr="00F221D3">
      <w:rPr>
        <w:rFonts w:ascii="Arial" w:hAnsi="Arial" w:cs="Arial"/>
        <w:sz w:val="14"/>
        <w:szCs w:val="14"/>
        <w:lang w:val="en-IE"/>
      </w:rPr>
      <w:t>Outcome Agreement Self-Evaluation Report</w:t>
    </w:r>
    <w:r w:rsidR="00E62E4E" w:rsidRPr="00F221D3">
      <w:rPr>
        <w:rFonts w:ascii="Arial" w:hAnsi="Arial" w:cs="Arial"/>
        <w:sz w:val="14"/>
        <w:szCs w:val="14"/>
        <w:lang w:val="en-IE"/>
      </w:rPr>
      <w:t>- North Highland College UHI</w:t>
    </w:r>
    <w:r w:rsidR="00E62E4E" w:rsidRPr="00F221D3">
      <w:rPr>
        <w:rFonts w:ascii="Arial" w:hAnsi="Arial" w:cs="Arial"/>
        <w:sz w:val="14"/>
        <w:szCs w:val="14"/>
        <w:lang w:val="en-IE"/>
      </w:rPr>
      <w:tab/>
      <w:t>October 2019</w:t>
    </w:r>
    <w:r w:rsidR="00E62E4E" w:rsidRPr="00F221D3">
      <w:rPr>
        <w:rFonts w:ascii="Arial" w:hAnsi="Arial" w:cs="Arial"/>
        <w:sz w:val="14"/>
        <w:szCs w:val="14"/>
        <w:lang w:val="en-IE"/>
      </w:rPr>
      <w:tab/>
    </w:r>
    <w:r w:rsidR="00E62E4E" w:rsidRPr="00F221D3">
      <w:rPr>
        <w:rFonts w:ascii="Arial" w:hAnsi="Arial" w:cs="Arial"/>
        <w:sz w:val="14"/>
        <w:szCs w:val="14"/>
        <w:lang w:val="en-IE"/>
      </w:rPr>
      <w:tab/>
    </w:r>
    <w:r w:rsidR="00F221D3" w:rsidRPr="00F221D3">
      <w:rPr>
        <w:rFonts w:ascii="Arial" w:hAnsi="Arial" w:cs="Arial"/>
        <w:sz w:val="14"/>
        <w:szCs w:val="14"/>
        <w:lang w:val="en-IE"/>
      </w:rPr>
      <w:tab/>
    </w:r>
    <w:r w:rsidR="00F221D3" w:rsidRPr="00F221D3">
      <w:rPr>
        <w:rFonts w:ascii="Arial" w:hAnsi="Arial" w:cs="Arial"/>
        <w:sz w:val="14"/>
        <w:szCs w:val="14"/>
        <w:lang w:val="en-IE"/>
      </w:rPr>
      <w:tab/>
    </w:r>
    <w:r w:rsidR="00F221D3" w:rsidRPr="00F221D3">
      <w:rPr>
        <w:rFonts w:ascii="Arial" w:hAnsi="Arial" w:cs="Arial"/>
        <w:sz w:val="14"/>
        <w:szCs w:val="14"/>
        <w:lang w:val="en-IE"/>
      </w:rPr>
      <w:tab/>
    </w:r>
    <w:r w:rsidR="00E62E4E" w:rsidRPr="00F221D3">
      <w:rPr>
        <w:rFonts w:ascii="Arial" w:hAnsi="Arial" w:cs="Arial"/>
        <w:sz w:val="14"/>
        <w:szCs w:val="14"/>
        <w:lang w:val="en-IE"/>
      </w:rPr>
      <w:t xml:space="preserve">Page </w:t>
    </w:r>
    <w:r w:rsidR="00E62E4E" w:rsidRPr="00F221D3">
      <w:rPr>
        <w:rFonts w:ascii="Arial" w:hAnsi="Arial" w:cs="Arial"/>
        <w:sz w:val="14"/>
        <w:szCs w:val="14"/>
        <w:lang w:val="en-IE"/>
      </w:rPr>
      <w:fldChar w:fldCharType="begin"/>
    </w:r>
    <w:r w:rsidR="00E62E4E" w:rsidRPr="00F221D3">
      <w:rPr>
        <w:rFonts w:ascii="Arial" w:hAnsi="Arial" w:cs="Arial"/>
        <w:sz w:val="14"/>
        <w:szCs w:val="14"/>
        <w:lang w:val="en-IE"/>
      </w:rPr>
      <w:instrText xml:space="preserve"> PAGE   \* MERGEFORMAT </w:instrText>
    </w:r>
    <w:r w:rsidR="00E62E4E" w:rsidRPr="00F221D3">
      <w:rPr>
        <w:rFonts w:ascii="Arial" w:hAnsi="Arial" w:cs="Arial"/>
        <w:sz w:val="14"/>
        <w:szCs w:val="14"/>
        <w:lang w:val="en-IE"/>
      </w:rPr>
      <w:fldChar w:fldCharType="separate"/>
    </w:r>
    <w:r w:rsidR="00E62E4E" w:rsidRPr="00F221D3">
      <w:rPr>
        <w:rFonts w:ascii="Arial" w:hAnsi="Arial" w:cs="Arial"/>
        <w:noProof/>
        <w:sz w:val="14"/>
        <w:szCs w:val="14"/>
        <w:lang w:val="en-IE"/>
      </w:rPr>
      <w:t>16</w:t>
    </w:r>
    <w:r w:rsidR="00E62E4E" w:rsidRPr="00F221D3">
      <w:rPr>
        <w:rFonts w:ascii="Arial" w:hAnsi="Arial" w:cs="Arial"/>
        <w:noProof/>
        <w:sz w:val="14"/>
        <w:szCs w:val="14"/>
        <w:lang w:val="en-IE"/>
      </w:rPr>
      <w:fldChar w:fldCharType="end"/>
    </w:r>
  </w:p>
  <w:p w14:paraId="0DC0227D" w14:textId="77777777" w:rsidR="00E62E4E" w:rsidRDefault="00E62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79092" w14:textId="77777777" w:rsidR="00D144F2" w:rsidRDefault="00D144F2" w:rsidP="00FB35AB">
      <w:pPr>
        <w:spacing w:after="0" w:line="240" w:lineRule="auto"/>
      </w:pPr>
      <w:r>
        <w:separator/>
      </w:r>
    </w:p>
  </w:footnote>
  <w:footnote w:type="continuationSeparator" w:id="0">
    <w:p w14:paraId="4C4DB53D" w14:textId="77777777" w:rsidR="00D144F2" w:rsidRDefault="00D144F2" w:rsidP="00FB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784"/>
    <w:multiLevelType w:val="hybridMultilevel"/>
    <w:tmpl w:val="C45C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5DD0"/>
    <w:multiLevelType w:val="hybridMultilevel"/>
    <w:tmpl w:val="8E2A624E"/>
    <w:lvl w:ilvl="0" w:tplc="2ECCCF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16952"/>
    <w:multiLevelType w:val="hybridMultilevel"/>
    <w:tmpl w:val="D5B87B44"/>
    <w:lvl w:ilvl="0" w:tplc="70ACF90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1E3A38"/>
    <w:multiLevelType w:val="hybridMultilevel"/>
    <w:tmpl w:val="5CF0CAB6"/>
    <w:lvl w:ilvl="0" w:tplc="BCD4C6E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7277"/>
    <w:multiLevelType w:val="hybridMultilevel"/>
    <w:tmpl w:val="61BE19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F13A3A"/>
    <w:multiLevelType w:val="hybridMultilevel"/>
    <w:tmpl w:val="C75466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A95D1A"/>
    <w:multiLevelType w:val="hybridMultilevel"/>
    <w:tmpl w:val="DD04A4D8"/>
    <w:lvl w:ilvl="0" w:tplc="2ECCC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24038"/>
    <w:multiLevelType w:val="hybridMultilevel"/>
    <w:tmpl w:val="3E4C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3113"/>
    <w:multiLevelType w:val="hybridMultilevel"/>
    <w:tmpl w:val="6A98CE52"/>
    <w:lvl w:ilvl="0" w:tplc="BDECA6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A7CFC"/>
    <w:multiLevelType w:val="hybridMultilevel"/>
    <w:tmpl w:val="4E4C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D6C05"/>
    <w:multiLevelType w:val="hybridMultilevel"/>
    <w:tmpl w:val="EBF4B176"/>
    <w:lvl w:ilvl="0" w:tplc="8F622A22">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9C571A"/>
    <w:multiLevelType w:val="hybridMultilevel"/>
    <w:tmpl w:val="71D0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17C77"/>
    <w:multiLevelType w:val="hybridMultilevel"/>
    <w:tmpl w:val="A5F65556"/>
    <w:lvl w:ilvl="0" w:tplc="2ECCCF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2C365F"/>
    <w:multiLevelType w:val="hybridMultilevel"/>
    <w:tmpl w:val="341C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63C6D"/>
    <w:multiLevelType w:val="hybridMultilevel"/>
    <w:tmpl w:val="A3DCE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E076B"/>
    <w:multiLevelType w:val="hybridMultilevel"/>
    <w:tmpl w:val="AD84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26747"/>
    <w:multiLevelType w:val="hybridMultilevel"/>
    <w:tmpl w:val="AA3062F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263ADC"/>
    <w:multiLevelType w:val="hybridMultilevel"/>
    <w:tmpl w:val="AEC2E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F7311A"/>
    <w:multiLevelType w:val="hybridMultilevel"/>
    <w:tmpl w:val="A5E82C9E"/>
    <w:lvl w:ilvl="0" w:tplc="078E27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10FC6"/>
    <w:multiLevelType w:val="hybridMultilevel"/>
    <w:tmpl w:val="5EEC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E1125"/>
    <w:multiLevelType w:val="hybridMultilevel"/>
    <w:tmpl w:val="D01C4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B76D9E"/>
    <w:multiLevelType w:val="hybridMultilevel"/>
    <w:tmpl w:val="25C4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27E15"/>
    <w:multiLevelType w:val="hybridMultilevel"/>
    <w:tmpl w:val="9774D7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AB5407"/>
    <w:multiLevelType w:val="hybridMultilevel"/>
    <w:tmpl w:val="CE369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E32EF9"/>
    <w:multiLevelType w:val="hybridMultilevel"/>
    <w:tmpl w:val="B17EA96E"/>
    <w:lvl w:ilvl="0" w:tplc="20ACB11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60354"/>
    <w:multiLevelType w:val="hybridMultilevel"/>
    <w:tmpl w:val="FEFEF5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0CF363F"/>
    <w:multiLevelType w:val="hybridMultilevel"/>
    <w:tmpl w:val="8C4EFEAA"/>
    <w:lvl w:ilvl="0" w:tplc="2ECCC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082866"/>
    <w:multiLevelType w:val="hybridMultilevel"/>
    <w:tmpl w:val="2E086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14C6C75"/>
    <w:multiLevelType w:val="hybridMultilevel"/>
    <w:tmpl w:val="0B42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077DFD"/>
    <w:multiLevelType w:val="hybridMultilevel"/>
    <w:tmpl w:val="2F344400"/>
    <w:lvl w:ilvl="0" w:tplc="2ECCCF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88414B"/>
    <w:multiLevelType w:val="hybridMultilevel"/>
    <w:tmpl w:val="5A00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E3F5F"/>
    <w:multiLevelType w:val="hybridMultilevel"/>
    <w:tmpl w:val="B75491FE"/>
    <w:lvl w:ilvl="0" w:tplc="2ECCCF4C">
      <w:start w:val="1"/>
      <w:numFmt w:val="lowerLetter"/>
      <w:lvlText w:val="%1)"/>
      <w:lvlJc w:val="left"/>
      <w:pPr>
        <w:ind w:left="-304" w:hanging="360"/>
      </w:pPr>
      <w:rPr>
        <w:rFonts w:hint="default"/>
      </w:rPr>
    </w:lvl>
    <w:lvl w:ilvl="1" w:tplc="08090019" w:tentative="1">
      <w:start w:val="1"/>
      <w:numFmt w:val="lowerLetter"/>
      <w:lvlText w:val="%2."/>
      <w:lvlJc w:val="left"/>
      <w:pPr>
        <w:ind w:left="416" w:hanging="360"/>
      </w:pPr>
    </w:lvl>
    <w:lvl w:ilvl="2" w:tplc="0809001B" w:tentative="1">
      <w:start w:val="1"/>
      <w:numFmt w:val="lowerRoman"/>
      <w:lvlText w:val="%3."/>
      <w:lvlJc w:val="right"/>
      <w:pPr>
        <w:ind w:left="1136" w:hanging="180"/>
      </w:pPr>
    </w:lvl>
    <w:lvl w:ilvl="3" w:tplc="0809000F" w:tentative="1">
      <w:start w:val="1"/>
      <w:numFmt w:val="decimal"/>
      <w:lvlText w:val="%4."/>
      <w:lvlJc w:val="left"/>
      <w:pPr>
        <w:ind w:left="1856" w:hanging="360"/>
      </w:pPr>
    </w:lvl>
    <w:lvl w:ilvl="4" w:tplc="08090019" w:tentative="1">
      <w:start w:val="1"/>
      <w:numFmt w:val="lowerLetter"/>
      <w:lvlText w:val="%5."/>
      <w:lvlJc w:val="left"/>
      <w:pPr>
        <w:ind w:left="2576" w:hanging="360"/>
      </w:pPr>
    </w:lvl>
    <w:lvl w:ilvl="5" w:tplc="0809001B" w:tentative="1">
      <w:start w:val="1"/>
      <w:numFmt w:val="lowerRoman"/>
      <w:lvlText w:val="%6."/>
      <w:lvlJc w:val="right"/>
      <w:pPr>
        <w:ind w:left="3296" w:hanging="180"/>
      </w:pPr>
    </w:lvl>
    <w:lvl w:ilvl="6" w:tplc="0809000F" w:tentative="1">
      <w:start w:val="1"/>
      <w:numFmt w:val="decimal"/>
      <w:lvlText w:val="%7."/>
      <w:lvlJc w:val="left"/>
      <w:pPr>
        <w:ind w:left="4016" w:hanging="360"/>
      </w:pPr>
    </w:lvl>
    <w:lvl w:ilvl="7" w:tplc="08090019" w:tentative="1">
      <w:start w:val="1"/>
      <w:numFmt w:val="lowerLetter"/>
      <w:lvlText w:val="%8."/>
      <w:lvlJc w:val="left"/>
      <w:pPr>
        <w:ind w:left="4736" w:hanging="360"/>
      </w:pPr>
    </w:lvl>
    <w:lvl w:ilvl="8" w:tplc="0809001B" w:tentative="1">
      <w:start w:val="1"/>
      <w:numFmt w:val="lowerRoman"/>
      <w:lvlText w:val="%9."/>
      <w:lvlJc w:val="right"/>
      <w:pPr>
        <w:ind w:left="5456" w:hanging="180"/>
      </w:pPr>
    </w:lvl>
  </w:abstractNum>
  <w:abstractNum w:abstractNumId="32" w15:restartNumberingAfterBreak="0">
    <w:nsid w:val="63416D7F"/>
    <w:multiLevelType w:val="hybridMultilevel"/>
    <w:tmpl w:val="E234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35D3D"/>
    <w:multiLevelType w:val="hybridMultilevel"/>
    <w:tmpl w:val="A1B40058"/>
    <w:lvl w:ilvl="0" w:tplc="9404C1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7C28A5"/>
    <w:multiLevelType w:val="hybridMultilevel"/>
    <w:tmpl w:val="1884CE54"/>
    <w:lvl w:ilvl="0" w:tplc="08090019">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68BC3A02"/>
    <w:multiLevelType w:val="hybridMultilevel"/>
    <w:tmpl w:val="46CEA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192EBA"/>
    <w:multiLevelType w:val="hybridMultilevel"/>
    <w:tmpl w:val="B808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26A50"/>
    <w:multiLevelType w:val="hybridMultilevel"/>
    <w:tmpl w:val="5D9A34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D8C5395"/>
    <w:multiLevelType w:val="hybridMultilevel"/>
    <w:tmpl w:val="86A4D2D2"/>
    <w:lvl w:ilvl="0" w:tplc="861E8F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7C5D11"/>
    <w:multiLevelType w:val="hybridMultilevel"/>
    <w:tmpl w:val="52B8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B3560B"/>
    <w:multiLevelType w:val="hybridMultilevel"/>
    <w:tmpl w:val="4098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B2A50"/>
    <w:multiLevelType w:val="hybridMultilevel"/>
    <w:tmpl w:val="447825F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5A1537"/>
    <w:multiLevelType w:val="hybridMultilevel"/>
    <w:tmpl w:val="2DA8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42"/>
  </w:num>
  <w:num w:numId="4">
    <w:abstractNumId w:val="32"/>
  </w:num>
  <w:num w:numId="5">
    <w:abstractNumId w:val="33"/>
  </w:num>
  <w:num w:numId="6">
    <w:abstractNumId w:val="8"/>
  </w:num>
  <w:num w:numId="7">
    <w:abstractNumId w:val="7"/>
  </w:num>
  <w:num w:numId="8">
    <w:abstractNumId w:val="6"/>
  </w:num>
  <w:num w:numId="9">
    <w:abstractNumId w:val="26"/>
  </w:num>
  <w:num w:numId="10">
    <w:abstractNumId w:val="12"/>
  </w:num>
  <w:num w:numId="11">
    <w:abstractNumId w:val="29"/>
  </w:num>
  <w:num w:numId="12">
    <w:abstractNumId w:val="31"/>
  </w:num>
  <w:num w:numId="13">
    <w:abstractNumId w:val="1"/>
  </w:num>
  <w:num w:numId="14">
    <w:abstractNumId w:val="38"/>
  </w:num>
  <w:num w:numId="15">
    <w:abstractNumId w:val="28"/>
  </w:num>
  <w:num w:numId="16">
    <w:abstractNumId w:val="9"/>
  </w:num>
  <w:num w:numId="17">
    <w:abstractNumId w:val="11"/>
  </w:num>
  <w:num w:numId="18">
    <w:abstractNumId w:val="21"/>
  </w:num>
  <w:num w:numId="19">
    <w:abstractNumId w:val="14"/>
  </w:num>
  <w:num w:numId="20">
    <w:abstractNumId w:val="23"/>
  </w:num>
  <w:num w:numId="21">
    <w:abstractNumId w:val="39"/>
  </w:num>
  <w:num w:numId="22">
    <w:abstractNumId w:val="40"/>
  </w:num>
  <w:num w:numId="23">
    <w:abstractNumId w:val="13"/>
  </w:num>
  <w:num w:numId="24">
    <w:abstractNumId w:val="36"/>
  </w:num>
  <w:num w:numId="25">
    <w:abstractNumId w:val="30"/>
  </w:num>
  <w:num w:numId="26">
    <w:abstractNumId w:val="18"/>
  </w:num>
  <w:num w:numId="27">
    <w:abstractNumId w:val="0"/>
  </w:num>
  <w:num w:numId="28">
    <w:abstractNumId w:val="16"/>
  </w:num>
  <w:num w:numId="29">
    <w:abstractNumId w:val="22"/>
  </w:num>
  <w:num w:numId="30">
    <w:abstractNumId w:val="37"/>
  </w:num>
  <w:num w:numId="31">
    <w:abstractNumId w:val="4"/>
  </w:num>
  <w:num w:numId="32">
    <w:abstractNumId w:val="10"/>
  </w:num>
  <w:num w:numId="33">
    <w:abstractNumId w:val="41"/>
  </w:num>
  <w:num w:numId="34">
    <w:abstractNumId w:val="25"/>
  </w:num>
  <w:num w:numId="35">
    <w:abstractNumId w:val="3"/>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0"/>
  </w:num>
  <w:num w:numId="39">
    <w:abstractNumId w:val="15"/>
  </w:num>
  <w:num w:numId="40">
    <w:abstractNumId w:val="19"/>
  </w:num>
  <w:num w:numId="41">
    <w:abstractNumId w:val="34"/>
  </w:num>
  <w:num w:numId="42">
    <w:abstractNumId w:val="35"/>
  </w:num>
  <w:num w:numId="4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F9"/>
    <w:rsid w:val="00006EE7"/>
    <w:rsid w:val="00014F17"/>
    <w:rsid w:val="00023460"/>
    <w:rsid w:val="0002684F"/>
    <w:rsid w:val="00030CF1"/>
    <w:rsid w:val="00032B52"/>
    <w:rsid w:val="000507B6"/>
    <w:rsid w:val="00063C74"/>
    <w:rsid w:val="00075A02"/>
    <w:rsid w:val="00080A47"/>
    <w:rsid w:val="00081A91"/>
    <w:rsid w:val="00082241"/>
    <w:rsid w:val="00082FE1"/>
    <w:rsid w:val="00094C3C"/>
    <w:rsid w:val="000A0D75"/>
    <w:rsid w:val="000A2630"/>
    <w:rsid w:val="000A30C0"/>
    <w:rsid w:val="000A39C5"/>
    <w:rsid w:val="000A5594"/>
    <w:rsid w:val="000B0A43"/>
    <w:rsid w:val="000B1DAB"/>
    <w:rsid w:val="000B4447"/>
    <w:rsid w:val="000B6249"/>
    <w:rsid w:val="000B671B"/>
    <w:rsid w:val="000B74AE"/>
    <w:rsid w:val="000D2D7A"/>
    <w:rsid w:val="000E2F71"/>
    <w:rsid w:val="000E40D5"/>
    <w:rsid w:val="000E570C"/>
    <w:rsid w:val="000E5E14"/>
    <w:rsid w:val="000E7400"/>
    <w:rsid w:val="000F17E3"/>
    <w:rsid w:val="000F53E0"/>
    <w:rsid w:val="00102FEF"/>
    <w:rsid w:val="001043A3"/>
    <w:rsid w:val="0010497C"/>
    <w:rsid w:val="00107C40"/>
    <w:rsid w:val="00112C0B"/>
    <w:rsid w:val="0012122D"/>
    <w:rsid w:val="00122D17"/>
    <w:rsid w:val="001275AE"/>
    <w:rsid w:val="00130884"/>
    <w:rsid w:val="001359AE"/>
    <w:rsid w:val="001505F5"/>
    <w:rsid w:val="001507FE"/>
    <w:rsid w:val="00155AFB"/>
    <w:rsid w:val="00167374"/>
    <w:rsid w:val="0016769A"/>
    <w:rsid w:val="001707B7"/>
    <w:rsid w:val="00183D89"/>
    <w:rsid w:val="00186ADE"/>
    <w:rsid w:val="001922CF"/>
    <w:rsid w:val="00195918"/>
    <w:rsid w:val="001A1419"/>
    <w:rsid w:val="001A2A77"/>
    <w:rsid w:val="001A41BB"/>
    <w:rsid w:val="001A683E"/>
    <w:rsid w:val="001A6EF6"/>
    <w:rsid w:val="001B0104"/>
    <w:rsid w:val="001B0697"/>
    <w:rsid w:val="001B3304"/>
    <w:rsid w:val="001B3605"/>
    <w:rsid w:val="001C3046"/>
    <w:rsid w:val="001C5224"/>
    <w:rsid w:val="001E741F"/>
    <w:rsid w:val="001F231F"/>
    <w:rsid w:val="001F3C76"/>
    <w:rsid w:val="001F4AC6"/>
    <w:rsid w:val="002056D3"/>
    <w:rsid w:val="002224B0"/>
    <w:rsid w:val="00224150"/>
    <w:rsid w:val="00227B46"/>
    <w:rsid w:val="00231290"/>
    <w:rsid w:val="00237467"/>
    <w:rsid w:val="00241C10"/>
    <w:rsid w:val="00245A34"/>
    <w:rsid w:val="00251AE4"/>
    <w:rsid w:val="00251D80"/>
    <w:rsid w:val="0025231D"/>
    <w:rsid w:val="00256BF4"/>
    <w:rsid w:val="00265EE1"/>
    <w:rsid w:val="0026725C"/>
    <w:rsid w:val="002713B4"/>
    <w:rsid w:val="00272EBD"/>
    <w:rsid w:val="00273175"/>
    <w:rsid w:val="00285237"/>
    <w:rsid w:val="002900F9"/>
    <w:rsid w:val="002908BF"/>
    <w:rsid w:val="00293737"/>
    <w:rsid w:val="00297D72"/>
    <w:rsid w:val="002A283F"/>
    <w:rsid w:val="002C2E15"/>
    <w:rsid w:val="002C2F92"/>
    <w:rsid w:val="002C4A9F"/>
    <w:rsid w:val="002C53B5"/>
    <w:rsid w:val="002C6159"/>
    <w:rsid w:val="002D4FDF"/>
    <w:rsid w:val="002E2F09"/>
    <w:rsid w:val="002F43EF"/>
    <w:rsid w:val="002F733D"/>
    <w:rsid w:val="002F7C75"/>
    <w:rsid w:val="0030116B"/>
    <w:rsid w:val="0031001D"/>
    <w:rsid w:val="00320447"/>
    <w:rsid w:val="00323CEF"/>
    <w:rsid w:val="0032565E"/>
    <w:rsid w:val="00326234"/>
    <w:rsid w:val="00332317"/>
    <w:rsid w:val="00332B7D"/>
    <w:rsid w:val="00334AF8"/>
    <w:rsid w:val="003445BA"/>
    <w:rsid w:val="00357624"/>
    <w:rsid w:val="003576EB"/>
    <w:rsid w:val="00372EF0"/>
    <w:rsid w:val="003772E8"/>
    <w:rsid w:val="00386211"/>
    <w:rsid w:val="003913A4"/>
    <w:rsid w:val="00391BD8"/>
    <w:rsid w:val="00396112"/>
    <w:rsid w:val="003A0D5C"/>
    <w:rsid w:val="003A4169"/>
    <w:rsid w:val="003B0241"/>
    <w:rsid w:val="003B0EC7"/>
    <w:rsid w:val="003B79F7"/>
    <w:rsid w:val="003C2095"/>
    <w:rsid w:val="003D0336"/>
    <w:rsid w:val="003D5866"/>
    <w:rsid w:val="003D633A"/>
    <w:rsid w:val="003D7B26"/>
    <w:rsid w:val="003E1286"/>
    <w:rsid w:val="003E3D16"/>
    <w:rsid w:val="003F1AB4"/>
    <w:rsid w:val="004021D7"/>
    <w:rsid w:val="004065FF"/>
    <w:rsid w:val="0040672A"/>
    <w:rsid w:val="00430AD6"/>
    <w:rsid w:val="004360BD"/>
    <w:rsid w:val="00436ECB"/>
    <w:rsid w:val="00441B7D"/>
    <w:rsid w:val="00452164"/>
    <w:rsid w:val="00453C82"/>
    <w:rsid w:val="004627DA"/>
    <w:rsid w:val="00464C12"/>
    <w:rsid w:val="00466365"/>
    <w:rsid w:val="00470014"/>
    <w:rsid w:val="0047430C"/>
    <w:rsid w:val="00476FD9"/>
    <w:rsid w:val="0047716E"/>
    <w:rsid w:val="00485ACD"/>
    <w:rsid w:val="0049480C"/>
    <w:rsid w:val="004A3174"/>
    <w:rsid w:val="004A53CD"/>
    <w:rsid w:val="004B05A1"/>
    <w:rsid w:val="004B5809"/>
    <w:rsid w:val="004C7444"/>
    <w:rsid w:val="004D2019"/>
    <w:rsid w:val="004D4D56"/>
    <w:rsid w:val="004D5E20"/>
    <w:rsid w:val="004E1F42"/>
    <w:rsid w:val="004E79E3"/>
    <w:rsid w:val="004F13EB"/>
    <w:rsid w:val="004F2FF1"/>
    <w:rsid w:val="00503782"/>
    <w:rsid w:val="00515DCC"/>
    <w:rsid w:val="0053160D"/>
    <w:rsid w:val="005336A8"/>
    <w:rsid w:val="00534034"/>
    <w:rsid w:val="005433F6"/>
    <w:rsid w:val="005457FD"/>
    <w:rsid w:val="00546818"/>
    <w:rsid w:val="005515B1"/>
    <w:rsid w:val="00551DDF"/>
    <w:rsid w:val="00553B5F"/>
    <w:rsid w:val="005569A1"/>
    <w:rsid w:val="00560923"/>
    <w:rsid w:val="00563176"/>
    <w:rsid w:val="00570D6E"/>
    <w:rsid w:val="00575DAF"/>
    <w:rsid w:val="0057609E"/>
    <w:rsid w:val="00577F50"/>
    <w:rsid w:val="0058080B"/>
    <w:rsid w:val="005830D4"/>
    <w:rsid w:val="0058458A"/>
    <w:rsid w:val="00585E81"/>
    <w:rsid w:val="00591E10"/>
    <w:rsid w:val="005A3566"/>
    <w:rsid w:val="005A79FB"/>
    <w:rsid w:val="005B526A"/>
    <w:rsid w:val="005C40A7"/>
    <w:rsid w:val="005C751B"/>
    <w:rsid w:val="005D683A"/>
    <w:rsid w:val="005E13B5"/>
    <w:rsid w:val="005E4689"/>
    <w:rsid w:val="005F1DF1"/>
    <w:rsid w:val="005F69EE"/>
    <w:rsid w:val="006060ED"/>
    <w:rsid w:val="00606147"/>
    <w:rsid w:val="00606E08"/>
    <w:rsid w:val="00612954"/>
    <w:rsid w:val="00621168"/>
    <w:rsid w:val="006233B4"/>
    <w:rsid w:val="00624D29"/>
    <w:rsid w:val="006263C1"/>
    <w:rsid w:val="00627AE6"/>
    <w:rsid w:val="00637AF9"/>
    <w:rsid w:val="006412A8"/>
    <w:rsid w:val="00652988"/>
    <w:rsid w:val="00662362"/>
    <w:rsid w:val="0066711B"/>
    <w:rsid w:val="00672781"/>
    <w:rsid w:val="00674C96"/>
    <w:rsid w:val="006839D7"/>
    <w:rsid w:val="006911E2"/>
    <w:rsid w:val="00692B12"/>
    <w:rsid w:val="00695FEF"/>
    <w:rsid w:val="006A3582"/>
    <w:rsid w:val="006A70AC"/>
    <w:rsid w:val="006B1A15"/>
    <w:rsid w:val="006C0115"/>
    <w:rsid w:val="006C453A"/>
    <w:rsid w:val="006D2EF2"/>
    <w:rsid w:val="006D38A5"/>
    <w:rsid w:val="006E1955"/>
    <w:rsid w:val="006F0B88"/>
    <w:rsid w:val="006F299F"/>
    <w:rsid w:val="00702939"/>
    <w:rsid w:val="00711299"/>
    <w:rsid w:val="00713D2B"/>
    <w:rsid w:val="007302E2"/>
    <w:rsid w:val="00755002"/>
    <w:rsid w:val="00757051"/>
    <w:rsid w:val="00760066"/>
    <w:rsid w:val="00760176"/>
    <w:rsid w:val="0076203C"/>
    <w:rsid w:val="007649AD"/>
    <w:rsid w:val="00764B15"/>
    <w:rsid w:val="007658E5"/>
    <w:rsid w:val="007741DF"/>
    <w:rsid w:val="007816C7"/>
    <w:rsid w:val="0078305C"/>
    <w:rsid w:val="007830CD"/>
    <w:rsid w:val="0079027A"/>
    <w:rsid w:val="007909B9"/>
    <w:rsid w:val="00794484"/>
    <w:rsid w:val="007A0CA7"/>
    <w:rsid w:val="007A7AD3"/>
    <w:rsid w:val="007B547F"/>
    <w:rsid w:val="007C1569"/>
    <w:rsid w:val="007C24C7"/>
    <w:rsid w:val="007C5E5F"/>
    <w:rsid w:val="007D37FC"/>
    <w:rsid w:val="007D6C56"/>
    <w:rsid w:val="007E08A9"/>
    <w:rsid w:val="007E2C29"/>
    <w:rsid w:val="00810BAA"/>
    <w:rsid w:val="008179CF"/>
    <w:rsid w:val="0082560E"/>
    <w:rsid w:val="008259FC"/>
    <w:rsid w:val="00830265"/>
    <w:rsid w:val="0084109B"/>
    <w:rsid w:val="00845DB0"/>
    <w:rsid w:val="0085188C"/>
    <w:rsid w:val="00851BDD"/>
    <w:rsid w:val="00852E79"/>
    <w:rsid w:val="008560A2"/>
    <w:rsid w:val="008614B5"/>
    <w:rsid w:val="00862EC7"/>
    <w:rsid w:val="00864F9E"/>
    <w:rsid w:val="00866202"/>
    <w:rsid w:val="00880161"/>
    <w:rsid w:val="008807B5"/>
    <w:rsid w:val="00883BCD"/>
    <w:rsid w:val="00884B86"/>
    <w:rsid w:val="0088714A"/>
    <w:rsid w:val="00890A0E"/>
    <w:rsid w:val="0089142D"/>
    <w:rsid w:val="00894A90"/>
    <w:rsid w:val="008A10C3"/>
    <w:rsid w:val="008B1712"/>
    <w:rsid w:val="008B4690"/>
    <w:rsid w:val="008B5E51"/>
    <w:rsid w:val="008B7605"/>
    <w:rsid w:val="008C00A9"/>
    <w:rsid w:val="008C05F4"/>
    <w:rsid w:val="008C197A"/>
    <w:rsid w:val="008C4615"/>
    <w:rsid w:val="008D6ABF"/>
    <w:rsid w:val="008E7F88"/>
    <w:rsid w:val="008F1A28"/>
    <w:rsid w:val="008F58AF"/>
    <w:rsid w:val="00900922"/>
    <w:rsid w:val="00901C33"/>
    <w:rsid w:val="009026CB"/>
    <w:rsid w:val="00910FEE"/>
    <w:rsid w:val="009174B2"/>
    <w:rsid w:val="00921FD1"/>
    <w:rsid w:val="00940003"/>
    <w:rsid w:val="00940BA7"/>
    <w:rsid w:val="009410F4"/>
    <w:rsid w:val="0094198C"/>
    <w:rsid w:val="009434A8"/>
    <w:rsid w:val="00943721"/>
    <w:rsid w:val="009473C0"/>
    <w:rsid w:val="00960DA3"/>
    <w:rsid w:val="00961EFD"/>
    <w:rsid w:val="00972E40"/>
    <w:rsid w:val="009810A8"/>
    <w:rsid w:val="00985BC7"/>
    <w:rsid w:val="0099632D"/>
    <w:rsid w:val="009A04F0"/>
    <w:rsid w:val="009A4874"/>
    <w:rsid w:val="009A60CE"/>
    <w:rsid w:val="009B2890"/>
    <w:rsid w:val="009B48C9"/>
    <w:rsid w:val="009B793E"/>
    <w:rsid w:val="009C0D51"/>
    <w:rsid w:val="009C358C"/>
    <w:rsid w:val="009C3B2F"/>
    <w:rsid w:val="009C3E7A"/>
    <w:rsid w:val="009D2444"/>
    <w:rsid w:val="009D3B44"/>
    <w:rsid w:val="009D51FE"/>
    <w:rsid w:val="009E781A"/>
    <w:rsid w:val="00A020FC"/>
    <w:rsid w:val="00A02518"/>
    <w:rsid w:val="00A0390A"/>
    <w:rsid w:val="00A03FC4"/>
    <w:rsid w:val="00A07135"/>
    <w:rsid w:val="00A104C7"/>
    <w:rsid w:val="00A12B50"/>
    <w:rsid w:val="00A165CF"/>
    <w:rsid w:val="00A22685"/>
    <w:rsid w:val="00A313EB"/>
    <w:rsid w:val="00A32EFC"/>
    <w:rsid w:val="00A33E3F"/>
    <w:rsid w:val="00A34088"/>
    <w:rsid w:val="00A358E3"/>
    <w:rsid w:val="00A41AA1"/>
    <w:rsid w:val="00A46A39"/>
    <w:rsid w:val="00A4710C"/>
    <w:rsid w:val="00A50A0A"/>
    <w:rsid w:val="00A50BF9"/>
    <w:rsid w:val="00A61065"/>
    <w:rsid w:val="00A61F7C"/>
    <w:rsid w:val="00A70F03"/>
    <w:rsid w:val="00A7132E"/>
    <w:rsid w:val="00A92870"/>
    <w:rsid w:val="00A96154"/>
    <w:rsid w:val="00A96D07"/>
    <w:rsid w:val="00AB36B8"/>
    <w:rsid w:val="00AB4B79"/>
    <w:rsid w:val="00AC1720"/>
    <w:rsid w:val="00AC22F2"/>
    <w:rsid w:val="00AC337D"/>
    <w:rsid w:val="00AD4AD5"/>
    <w:rsid w:val="00AD655A"/>
    <w:rsid w:val="00AD689E"/>
    <w:rsid w:val="00AF09F4"/>
    <w:rsid w:val="00B01693"/>
    <w:rsid w:val="00B0175D"/>
    <w:rsid w:val="00B06609"/>
    <w:rsid w:val="00B06D6E"/>
    <w:rsid w:val="00B21E02"/>
    <w:rsid w:val="00B25675"/>
    <w:rsid w:val="00B278AF"/>
    <w:rsid w:val="00B30904"/>
    <w:rsid w:val="00B33030"/>
    <w:rsid w:val="00B34676"/>
    <w:rsid w:val="00B4089C"/>
    <w:rsid w:val="00B44A6C"/>
    <w:rsid w:val="00B45250"/>
    <w:rsid w:val="00B60E57"/>
    <w:rsid w:val="00B66876"/>
    <w:rsid w:val="00B7006F"/>
    <w:rsid w:val="00B76187"/>
    <w:rsid w:val="00B77D23"/>
    <w:rsid w:val="00B84AEF"/>
    <w:rsid w:val="00B85698"/>
    <w:rsid w:val="00B87C98"/>
    <w:rsid w:val="00B948AE"/>
    <w:rsid w:val="00BA0861"/>
    <w:rsid w:val="00BA0E61"/>
    <w:rsid w:val="00BA360F"/>
    <w:rsid w:val="00BB71EC"/>
    <w:rsid w:val="00BC47C4"/>
    <w:rsid w:val="00BC6733"/>
    <w:rsid w:val="00BD1379"/>
    <w:rsid w:val="00BE6CC0"/>
    <w:rsid w:val="00BF2327"/>
    <w:rsid w:val="00BF45F5"/>
    <w:rsid w:val="00BF701B"/>
    <w:rsid w:val="00BF7D40"/>
    <w:rsid w:val="00C01CB9"/>
    <w:rsid w:val="00C11ECA"/>
    <w:rsid w:val="00C21878"/>
    <w:rsid w:val="00C32975"/>
    <w:rsid w:val="00C4666C"/>
    <w:rsid w:val="00C6117F"/>
    <w:rsid w:val="00C64CC2"/>
    <w:rsid w:val="00C70561"/>
    <w:rsid w:val="00C719E4"/>
    <w:rsid w:val="00C72970"/>
    <w:rsid w:val="00C754A2"/>
    <w:rsid w:val="00C754AD"/>
    <w:rsid w:val="00C76EF2"/>
    <w:rsid w:val="00C77A32"/>
    <w:rsid w:val="00C81C30"/>
    <w:rsid w:val="00C82079"/>
    <w:rsid w:val="00C90851"/>
    <w:rsid w:val="00C9162F"/>
    <w:rsid w:val="00C94B07"/>
    <w:rsid w:val="00C968E0"/>
    <w:rsid w:val="00C96C6B"/>
    <w:rsid w:val="00CA13B6"/>
    <w:rsid w:val="00CA71AC"/>
    <w:rsid w:val="00CB3D79"/>
    <w:rsid w:val="00CC07A8"/>
    <w:rsid w:val="00CC5933"/>
    <w:rsid w:val="00CD0B74"/>
    <w:rsid w:val="00CD7649"/>
    <w:rsid w:val="00CE1C1B"/>
    <w:rsid w:val="00CE2296"/>
    <w:rsid w:val="00CE3985"/>
    <w:rsid w:val="00D016FE"/>
    <w:rsid w:val="00D05FC6"/>
    <w:rsid w:val="00D103FB"/>
    <w:rsid w:val="00D11BB5"/>
    <w:rsid w:val="00D11FE7"/>
    <w:rsid w:val="00D12EE6"/>
    <w:rsid w:val="00D13E48"/>
    <w:rsid w:val="00D144F2"/>
    <w:rsid w:val="00D2076C"/>
    <w:rsid w:val="00D241C8"/>
    <w:rsid w:val="00D26A3E"/>
    <w:rsid w:val="00D32FF0"/>
    <w:rsid w:val="00D40B6D"/>
    <w:rsid w:val="00D415CD"/>
    <w:rsid w:val="00D4408F"/>
    <w:rsid w:val="00D46D68"/>
    <w:rsid w:val="00D546BE"/>
    <w:rsid w:val="00D54867"/>
    <w:rsid w:val="00D555CA"/>
    <w:rsid w:val="00D5631E"/>
    <w:rsid w:val="00D57BEA"/>
    <w:rsid w:val="00D61C2B"/>
    <w:rsid w:val="00D7026B"/>
    <w:rsid w:val="00D73715"/>
    <w:rsid w:val="00D77F75"/>
    <w:rsid w:val="00D86375"/>
    <w:rsid w:val="00D977DF"/>
    <w:rsid w:val="00D97A73"/>
    <w:rsid w:val="00DA1CCF"/>
    <w:rsid w:val="00DA26F9"/>
    <w:rsid w:val="00DA4783"/>
    <w:rsid w:val="00DB098C"/>
    <w:rsid w:val="00DC5075"/>
    <w:rsid w:val="00DC75AD"/>
    <w:rsid w:val="00DD3467"/>
    <w:rsid w:val="00DD6A3D"/>
    <w:rsid w:val="00DE15BE"/>
    <w:rsid w:val="00DF101A"/>
    <w:rsid w:val="00DF19CE"/>
    <w:rsid w:val="00DF4D95"/>
    <w:rsid w:val="00DF5D2B"/>
    <w:rsid w:val="00E03ABA"/>
    <w:rsid w:val="00E07CC9"/>
    <w:rsid w:val="00E14729"/>
    <w:rsid w:val="00E164A4"/>
    <w:rsid w:val="00E22EB2"/>
    <w:rsid w:val="00E23092"/>
    <w:rsid w:val="00E3056E"/>
    <w:rsid w:val="00E3058E"/>
    <w:rsid w:val="00E32201"/>
    <w:rsid w:val="00E34374"/>
    <w:rsid w:val="00E415F9"/>
    <w:rsid w:val="00E43D16"/>
    <w:rsid w:val="00E45DB9"/>
    <w:rsid w:val="00E50817"/>
    <w:rsid w:val="00E511D8"/>
    <w:rsid w:val="00E51250"/>
    <w:rsid w:val="00E51888"/>
    <w:rsid w:val="00E54DD7"/>
    <w:rsid w:val="00E62D3E"/>
    <w:rsid w:val="00E62E4E"/>
    <w:rsid w:val="00E6509C"/>
    <w:rsid w:val="00E71359"/>
    <w:rsid w:val="00E86CEB"/>
    <w:rsid w:val="00E951C4"/>
    <w:rsid w:val="00E97805"/>
    <w:rsid w:val="00E97E77"/>
    <w:rsid w:val="00EA198C"/>
    <w:rsid w:val="00EB0686"/>
    <w:rsid w:val="00EB68B8"/>
    <w:rsid w:val="00EB7A69"/>
    <w:rsid w:val="00EC25E7"/>
    <w:rsid w:val="00ED08A7"/>
    <w:rsid w:val="00EE068A"/>
    <w:rsid w:val="00EE2F0B"/>
    <w:rsid w:val="00EE4DE1"/>
    <w:rsid w:val="00EE6056"/>
    <w:rsid w:val="00EE667B"/>
    <w:rsid w:val="00EE67A9"/>
    <w:rsid w:val="00EF059E"/>
    <w:rsid w:val="00EF23E5"/>
    <w:rsid w:val="00EF4352"/>
    <w:rsid w:val="00EF7B3F"/>
    <w:rsid w:val="00F00DE6"/>
    <w:rsid w:val="00F033BB"/>
    <w:rsid w:val="00F0602B"/>
    <w:rsid w:val="00F1164B"/>
    <w:rsid w:val="00F1671D"/>
    <w:rsid w:val="00F20A9C"/>
    <w:rsid w:val="00F221D3"/>
    <w:rsid w:val="00F27458"/>
    <w:rsid w:val="00F34036"/>
    <w:rsid w:val="00F349DB"/>
    <w:rsid w:val="00F440BE"/>
    <w:rsid w:val="00F5245A"/>
    <w:rsid w:val="00F563A8"/>
    <w:rsid w:val="00F57E13"/>
    <w:rsid w:val="00F62D24"/>
    <w:rsid w:val="00F64565"/>
    <w:rsid w:val="00F66C1B"/>
    <w:rsid w:val="00F7268F"/>
    <w:rsid w:val="00F77AE4"/>
    <w:rsid w:val="00F77B7E"/>
    <w:rsid w:val="00F8046B"/>
    <w:rsid w:val="00F8649A"/>
    <w:rsid w:val="00F91CE5"/>
    <w:rsid w:val="00F944AC"/>
    <w:rsid w:val="00F9676E"/>
    <w:rsid w:val="00F971C0"/>
    <w:rsid w:val="00FB02A5"/>
    <w:rsid w:val="00FB35AB"/>
    <w:rsid w:val="00FC18A0"/>
    <w:rsid w:val="00FC3772"/>
    <w:rsid w:val="00FC44DA"/>
    <w:rsid w:val="00FD02ED"/>
    <w:rsid w:val="00FE20D6"/>
    <w:rsid w:val="00FE6B52"/>
    <w:rsid w:val="00FF6A5E"/>
    <w:rsid w:val="00FF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A3726"/>
  <w15:chartTrackingRefBased/>
  <w15:docId w15:val="{B9739EC0-420F-48E6-8B02-36CB29E3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2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7AF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Suggested Content,F5 List Paragraph,List Paragraph2,MAIN CONTENT,List Paragraph12,Dot pt,List Paragraph1,Colorful List - Accent 11,No Spacing1,List Paragraph Char Char Char,Indicator Text,Numbered Para 1,Bullet Points,Bullet 1,OBC Bullet"/>
    <w:basedOn w:val="Normal"/>
    <w:link w:val="ListParagraphChar"/>
    <w:uiPriority w:val="34"/>
    <w:qFormat/>
    <w:rsid w:val="00637AF9"/>
    <w:pPr>
      <w:ind w:left="720"/>
      <w:contextualSpacing/>
    </w:pPr>
  </w:style>
  <w:style w:type="table" w:styleId="TableGrid">
    <w:name w:val="Table Grid"/>
    <w:basedOn w:val="TableNormal"/>
    <w:uiPriority w:val="39"/>
    <w:rsid w:val="0008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5AB"/>
  </w:style>
  <w:style w:type="paragraph" w:styleId="Footer">
    <w:name w:val="footer"/>
    <w:basedOn w:val="Normal"/>
    <w:link w:val="FooterChar"/>
    <w:uiPriority w:val="99"/>
    <w:unhideWhenUsed/>
    <w:rsid w:val="00FB3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5AB"/>
  </w:style>
  <w:style w:type="character" w:styleId="CommentReference">
    <w:name w:val="annotation reference"/>
    <w:basedOn w:val="DefaultParagraphFont"/>
    <w:uiPriority w:val="99"/>
    <w:semiHidden/>
    <w:unhideWhenUsed/>
    <w:rsid w:val="00D54867"/>
    <w:rPr>
      <w:sz w:val="16"/>
      <w:szCs w:val="16"/>
    </w:rPr>
  </w:style>
  <w:style w:type="paragraph" w:styleId="CommentText">
    <w:name w:val="annotation text"/>
    <w:basedOn w:val="Normal"/>
    <w:link w:val="CommentTextChar"/>
    <w:uiPriority w:val="99"/>
    <w:semiHidden/>
    <w:unhideWhenUsed/>
    <w:rsid w:val="00D54867"/>
    <w:pPr>
      <w:spacing w:line="240" w:lineRule="auto"/>
    </w:pPr>
    <w:rPr>
      <w:sz w:val="20"/>
      <w:szCs w:val="20"/>
    </w:rPr>
  </w:style>
  <w:style w:type="character" w:customStyle="1" w:styleId="CommentTextChar">
    <w:name w:val="Comment Text Char"/>
    <w:basedOn w:val="DefaultParagraphFont"/>
    <w:link w:val="CommentText"/>
    <w:uiPriority w:val="99"/>
    <w:semiHidden/>
    <w:rsid w:val="00D54867"/>
    <w:rPr>
      <w:sz w:val="20"/>
      <w:szCs w:val="20"/>
    </w:rPr>
  </w:style>
  <w:style w:type="paragraph" w:styleId="CommentSubject">
    <w:name w:val="annotation subject"/>
    <w:basedOn w:val="CommentText"/>
    <w:next w:val="CommentText"/>
    <w:link w:val="CommentSubjectChar"/>
    <w:uiPriority w:val="99"/>
    <w:semiHidden/>
    <w:unhideWhenUsed/>
    <w:rsid w:val="00D54867"/>
    <w:rPr>
      <w:b/>
      <w:bCs/>
    </w:rPr>
  </w:style>
  <w:style w:type="character" w:customStyle="1" w:styleId="CommentSubjectChar">
    <w:name w:val="Comment Subject Char"/>
    <w:basedOn w:val="CommentTextChar"/>
    <w:link w:val="CommentSubject"/>
    <w:uiPriority w:val="99"/>
    <w:semiHidden/>
    <w:rsid w:val="00D54867"/>
    <w:rPr>
      <w:b/>
      <w:bCs/>
      <w:sz w:val="20"/>
      <w:szCs w:val="20"/>
    </w:rPr>
  </w:style>
  <w:style w:type="paragraph" w:styleId="BalloonText">
    <w:name w:val="Balloon Text"/>
    <w:basedOn w:val="Normal"/>
    <w:link w:val="BalloonTextChar"/>
    <w:uiPriority w:val="99"/>
    <w:semiHidden/>
    <w:unhideWhenUsed/>
    <w:rsid w:val="00D54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867"/>
    <w:rPr>
      <w:rFonts w:ascii="Segoe UI" w:hAnsi="Segoe UI" w:cs="Segoe UI"/>
      <w:sz w:val="18"/>
      <w:szCs w:val="18"/>
    </w:rPr>
  </w:style>
  <w:style w:type="character" w:customStyle="1" w:styleId="A1">
    <w:name w:val="A1"/>
    <w:uiPriority w:val="99"/>
    <w:rsid w:val="00F77AE4"/>
    <w:rPr>
      <w:color w:val="000000"/>
      <w:sz w:val="20"/>
      <w:szCs w:val="20"/>
    </w:rPr>
  </w:style>
  <w:style w:type="paragraph" w:customStyle="1" w:styleId="Pa1">
    <w:name w:val="Pa1"/>
    <w:basedOn w:val="Normal"/>
    <w:next w:val="Normal"/>
    <w:uiPriority w:val="99"/>
    <w:rsid w:val="00F77AE4"/>
    <w:pPr>
      <w:autoSpaceDE w:val="0"/>
      <w:autoSpaceDN w:val="0"/>
      <w:adjustRightInd w:val="0"/>
      <w:spacing w:after="0" w:line="241" w:lineRule="atLeast"/>
    </w:pPr>
    <w:rPr>
      <w:rFonts w:ascii="Arial" w:hAnsi="Arial" w:cs="Arial"/>
      <w:sz w:val="24"/>
      <w:szCs w:val="24"/>
    </w:rPr>
  </w:style>
  <w:style w:type="paragraph" w:styleId="NormalWeb">
    <w:name w:val="Normal (Web)"/>
    <w:basedOn w:val="Normal"/>
    <w:uiPriority w:val="99"/>
    <w:rsid w:val="00C77A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7467"/>
    <w:rPr>
      <w:color w:val="0563C1" w:themeColor="hyperlink"/>
      <w:u w:val="single"/>
    </w:rPr>
  </w:style>
  <w:style w:type="paragraph" w:styleId="FootnoteText">
    <w:name w:val="footnote text"/>
    <w:basedOn w:val="Normal"/>
    <w:link w:val="FootnoteTextChar"/>
    <w:uiPriority w:val="99"/>
    <w:semiHidden/>
    <w:unhideWhenUsed/>
    <w:rsid w:val="002374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467"/>
    <w:rPr>
      <w:sz w:val="20"/>
      <w:szCs w:val="20"/>
    </w:rPr>
  </w:style>
  <w:style w:type="character" w:styleId="FootnoteReference">
    <w:name w:val="footnote reference"/>
    <w:basedOn w:val="DefaultParagraphFont"/>
    <w:uiPriority w:val="99"/>
    <w:semiHidden/>
    <w:unhideWhenUsed/>
    <w:rsid w:val="00237467"/>
    <w:rPr>
      <w:vertAlign w:val="superscript"/>
    </w:rPr>
  </w:style>
  <w:style w:type="character" w:customStyle="1" w:styleId="ListParagraphChar">
    <w:name w:val="List Paragraph Char"/>
    <w:aliases w:val="Suggested Content Char,F5 List Paragraph Char,List Paragraph2 Char,MAIN CONTENT Char,List Paragraph12 Char,Dot pt Char,List Paragraph1 Char,Colorful List - Accent 11 Char,No Spacing1 Char,List Paragraph Char Char Char Char"/>
    <w:basedOn w:val="DefaultParagraphFont"/>
    <w:link w:val="ListParagraph"/>
    <w:uiPriority w:val="34"/>
    <w:qFormat/>
    <w:locked/>
    <w:rsid w:val="0022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7746">
      <w:bodyDiv w:val="1"/>
      <w:marLeft w:val="0"/>
      <w:marRight w:val="0"/>
      <w:marTop w:val="0"/>
      <w:marBottom w:val="0"/>
      <w:divBdr>
        <w:top w:val="none" w:sz="0" w:space="0" w:color="auto"/>
        <w:left w:val="none" w:sz="0" w:space="0" w:color="auto"/>
        <w:bottom w:val="none" w:sz="0" w:space="0" w:color="auto"/>
        <w:right w:val="none" w:sz="0" w:space="0" w:color="auto"/>
      </w:divBdr>
    </w:div>
    <w:div w:id="56437885">
      <w:bodyDiv w:val="1"/>
      <w:marLeft w:val="0"/>
      <w:marRight w:val="0"/>
      <w:marTop w:val="0"/>
      <w:marBottom w:val="0"/>
      <w:divBdr>
        <w:top w:val="none" w:sz="0" w:space="0" w:color="auto"/>
        <w:left w:val="none" w:sz="0" w:space="0" w:color="auto"/>
        <w:bottom w:val="none" w:sz="0" w:space="0" w:color="auto"/>
        <w:right w:val="none" w:sz="0" w:space="0" w:color="auto"/>
      </w:divBdr>
      <w:divsChild>
        <w:div w:id="2064596496">
          <w:marLeft w:val="0"/>
          <w:marRight w:val="0"/>
          <w:marTop w:val="600"/>
          <w:marBottom w:val="600"/>
          <w:divBdr>
            <w:top w:val="single" w:sz="6" w:space="8" w:color="EEEEEE"/>
            <w:left w:val="single" w:sz="6" w:space="11" w:color="EEEEEE"/>
            <w:bottom w:val="single" w:sz="6" w:space="8" w:color="EEEEEE"/>
            <w:right w:val="single" w:sz="6" w:space="11" w:color="EEEEEE"/>
          </w:divBdr>
          <w:divsChild>
            <w:div w:id="163908205">
              <w:marLeft w:val="-225"/>
              <w:marRight w:val="-225"/>
              <w:marTop w:val="0"/>
              <w:marBottom w:val="0"/>
              <w:divBdr>
                <w:top w:val="none" w:sz="0" w:space="0" w:color="auto"/>
                <w:left w:val="none" w:sz="0" w:space="0" w:color="auto"/>
                <w:bottom w:val="none" w:sz="0" w:space="0" w:color="auto"/>
                <w:right w:val="none" w:sz="0" w:space="0" w:color="auto"/>
              </w:divBdr>
              <w:divsChild>
                <w:div w:id="1610889127">
                  <w:marLeft w:val="0"/>
                  <w:marRight w:val="0"/>
                  <w:marTop w:val="0"/>
                  <w:marBottom w:val="0"/>
                  <w:divBdr>
                    <w:top w:val="none" w:sz="0" w:space="0" w:color="auto"/>
                    <w:left w:val="none" w:sz="0" w:space="0" w:color="auto"/>
                    <w:bottom w:val="none" w:sz="0" w:space="0" w:color="auto"/>
                    <w:right w:val="none" w:sz="0" w:space="0" w:color="auto"/>
                  </w:divBdr>
                  <w:divsChild>
                    <w:div w:id="691106983">
                      <w:marLeft w:val="0"/>
                      <w:marRight w:val="0"/>
                      <w:marTop w:val="0"/>
                      <w:marBottom w:val="0"/>
                      <w:divBdr>
                        <w:top w:val="none" w:sz="0" w:space="0" w:color="auto"/>
                        <w:left w:val="none" w:sz="0" w:space="0" w:color="auto"/>
                        <w:bottom w:val="none" w:sz="0" w:space="0" w:color="auto"/>
                        <w:right w:val="none" w:sz="0" w:space="0" w:color="auto"/>
                      </w:divBdr>
                      <w:divsChild>
                        <w:div w:id="350449182">
                          <w:marLeft w:val="0"/>
                          <w:marRight w:val="0"/>
                          <w:marTop w:val="0"/>
                          <w:marBottom w:val="0"/>
                          <w:divBdr>
                            <w:top w:val="none" w:sz="0" w:space="0" w:color="auto"/>
                            <w:left w:val="none" w:sz="0" w:space="0" w:color="auto"/>
                            <w:bottom w:val="none" w:sz="0" w:space="0" w:color="auto"/>
                            <w:right w:val="none" w:sz="0" w:space="0" w:color="auto"/>
                          </w:divBdr>
                          <w:divsChild>
                            <w:div w:id="1861967492">
                              <w:marLeft w:val="0"/>
                              <w:marRight w:val="0"/>
                              <w:marTop w:val="0"/>
                              <w:marBottom w:val="0"/>
                              <w:divBdr>
                                <w:top w:val="none" w:sz="0" w:space="0" w:color="auto"/>
                                <w:left w:val="none" w:sz="0" w:space="0" w:color="auto"/>
                                <w:bottom w:val="none" w:sz="0" w:space="0" w:color="auto"/>
                                <w:right w:val="none" w:sz="0" w:space="0" w:color="auto"/>
                              </w:divBdr>
                              <w:divsChild>
                                <w:div w:id="1287617234">
                                  <w:marLeft w:val="0"/>
                                  <w:marRight w:val="0"/>
                                  <w:marTop w:val="0"/>
                                  <w:marBottom w:val="0"/>
                                  <w:divBdr>
                                    <w:top w:val="none" w:sz="0" w:space="0" w:color="auto"/>
                                    <w:left w:val="none" w:sz="0" w:space="0" w:color="auto"/>
                                    <w:bottom w:val="none" w:sz="0" w:space="0" w:color="auto"/>
                                    <w:right w:val="none" w:sz="0" w:space="0" w:color="auto"/>
                                  </w:divBdr>
                                  <w:divsChild>
                                    <w:div w:id="1501000948">
                                      <w:marLeft w:val="0"/>
                                      <w:marRight w:val="0"/>
                                      <w:marTop w:val="0"/>
                                      <w:marBottom w:val="0"/>
                                      <w:divBdr>
                                        <w:top w:val="none" w:sz="0" w:space="0" w:color="auto"/>
                                        <w:left w:val="none" w:sz="0" w:space="0" w:color="auto"/>
                                        <w:bottom w:val="none" w:sz="0" w:space="0" w:color="auto"/>
                                        <w:right w:val="none" w:sz="0" w:space="0" w:color="auto"/>
                                      </w:divBdr>
                                      <w:divsChild>
                                        <w:div w:id="14213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71270">
      <w:bodyDiv w:val="1"/>
      <w:marLeft w:val="0"/>
      <w:marRight w:val="0"/>
      <w:marTop w:val="0"/>
      <w:marBottom w:val="0"/>
      <w:divBdr>
        <w:top w:val="none" w:sz="0" w:space="0" w:color="auto"/>
        <w:left w:val="none" w:sz="0" w:space="0" w:color="auto"/>
        <w:bottom w:val="none" w:sz="0" w:space="0" w:color="auto"/>
        <w:right w:val="none" w:sz="0" w:space="0" w:color="auto"/>
      </w:divBdr>
    </w:div>
    <w:div w:id="188222630">
      <w:bodyDiv w:val="1"/>
      <w:marLeft w:val="0"/>
      <w:marRight w:val="0"/>
      <w:marTop w:val="0"/>
      <w:marBottom w:val="0"/>
      <w:divBdr>
        <w:top w:val="none" w:sz="0" w:space="0" w:color="auto"/>
        <w:left w:val="none" w:sz="0" w:space="0" w:color="auto"/>
        <w:bottom w:val="none" w:sz="0" w:space="0" w:color="auto"/>
        <w:right w:val="none" w:sz="0" w:space="0" w:color="auto"/>
      </w:divBdr>
    </w:div>
    <w:div w:id="366877696">
      <w:bodyDiv w:val="1"/>
      <w:marLeft w:val="0"/>
      <w:marRight w:val="0"/>
      <w:marTop w:val="0"/>
      <w:marBottom w:val="0"/>
      <w:divBdr>
        <w:top w:val="none" w:sz="0" w:space="0" w:color="auto"/>
        <w:left w:val="none" w:sz="0" w:space="0" w:color="auto"/>
        <w:bottom w:val="none" w:sz="0" w:space="0" w:color="auto"/>
        <w:right w:val="none" w:sz="0" w:space="0" w:color="auto"/>
      </w:divBdr>
    </w:div>
    <w:div w:id="399141080">
      <w:bodyDiv w:val="1"/>
      <w:marLeft w:val="0"/>
      <w:marRight w:val="0"/>
      <w:marTop w:val="0"/>
      <w:marBottom w:val="0"/>
      <w:divBdr>
        <w:top w:val="none" w:sz="0" w:space="0" w:color="auto"/>
        <w:left w:val="none" w:sz="0" w:space="0" w:color="auto"/>
        <w:bottom w:val="none" w:sz="0" w:space="0" w:color="auto"/>
        <w:right w:val="none" w:sz="0" w:space="0" w:color="auto"/>
      </w:divBdr>
    </w:div>
    <w:div w:id="428431291">
      <w:bodyDiv w:val="1"/>
      <w:marLeft w:val="0"/>
      <w:marRight w:val="0"/>
      <w:marTop w:val="0"/>
      <w:marBottom w:val="0"/>
      <w:divBdr>
        <w:top w:val="none" w:sz="0" w:space="0" w:color="auto"/>
        <w:left w:val="none" w:sz="0" w:space="0" w:color="auto"/>
        <w:bottom w:val="none" w:sz="0" w:space="0" w:color="auto"/>
        <w:right w:val="none" w:sz="0" w:space="0" w:color="auto"/>
      </w:divBdr>
    </w:div>
    <w:div w:id="452553528">
      <w:bodyDiv w:val="1"/>
      <w:marLeft w:val="0"/>
      <w:marRight w:val="0"/>
      <w:marTop w:val="0"/>
      <w:marBottom w:val="0"/>
      <w:divBdr>
        <w:top w:val="none" w:sz="0" w:space="0" w:color="auto"/>
        <w:left w:val="none" w:sz="0" w:space="0" w:color="auto"/>
        <w:bottom w:val="none" w:sz="0" w:space="0" w:color="auto"/>
        <w:right w:val="none" w:sz="0" w:space="0" w:color="auto"/>
      </w:divBdr>
    </w:div>
    <w:div w:id="571426739">
      <w:bodyDiv w:val="1"/>
      <w:marLeft w:val="0"/>
      <w:marRight w:val="0"/>
      <w:marTop w:val="0"/>
      <w:marBottom w:val="0"/>
      <w:divBdr>
        <w:top w:val="none" w:sz="0" w:space="0" w:color="auto"/>
        <w:left w:val="none" w:sz="0" w:space="0" w:color="auto"/>
        <w:bottom w:val="none" w:sz="0" w:space="0" w:color="auto"/>
        <w:right w:val="none" w:sz="0" w:space="0" w:color="auto"/>
      </w:divBdr>
    </w:div>
    <w:div w:id="643630609">
      <w:bodyDiv w:val="1"/>
      <w:marLeft w:val="0"/>
      <w:marRight w:val="0"/>
      <w:marTop w:val="0"/>
      <w:marBottom w:val="0"/>
      <w:divBdr>
        <w:top w:val="none" w:sz="0" w:space="0" w:color="auto"/>
        <w:left w:val="none" w:sz="0" w:space="0" w:color="auto"/>
        <w:bottom w:val="none" w:sz="0" w:space="0" w:color="auto"/>
        <w:right w:val="none" w:sz="0" w:space="0" w:color="auto"/>
      </w:divBdr>
    </w:div>
    <w:div w:id="646252451">
      <w:bodyDiv w:val="1"/>
      <w:marLeft w:val="0"/>
      <w:marRight w:val="0"/>
      <w:marTop w:val="0"/>
      <w:marBottom w:val="0"/>
      <w:divBdr>
        <w:top w:val="none" w:sz="0" w:space="0" w:color="auto"/>
        <w:left w:val="none" w:sz="0" w:space="0" w:color="auto"/>
        <w:bottom w:val="none" w:sz="0" w:space="0" w:color="auto"/>
        <w:right w:val="none" w:sz="0" w:space="0" w:color="auto"/>
      </w:divBdr>
    </w:div>
    <w:div w:id="688219926">
      <w:bodyDiv w:val="1"/>
      <w:marLeft w:val="0"/>
      <w:marRight w:val="0"/>
      <w:marTop w:val="0"/>
      <w:marBottom w:val="0"/>
      <w:divBdr>
        <w:top w:val="none" w:sz="0" w:space="0" w:color="auto"/>
        <w:left w:val="none" w:sz="0" w:space="0" w:color="auto"/>
        <w:bottom w:val="none" w:sz="0" w:space="0" w:color="auto"/>
        <w:right w:val="none" w:sz="0" w:space="0" w:color="auto"/>
      </w:divBdr>
    </w:div>
    <w:div w:id="908660816">
      <w:bodyDiv w:val="1"/>
      <w:marLeft w:val="0"/>
      <w:marRight w:val="0"/>
      <w:marTop w:val="0"/>
      <w:marBottom w:val="0"/>
      <w:divBdr>
        <w:top w:val="none" w:sz="0" w:space="0" w:color="auto"/>
        <w:left w:val="none" w:sz="0" w:space="0" w:color="auto"/>
        <w:bottom w:val="none" w:sz="0" w:space="0" w:color="auto"/>
        <w:right w:val="none" w:sz="0" w:space="0" w:color="auto"/>
      </w:divBdr>
    </w:div>
    <w:div w:id="960578849">
      <w:bodyDiv w:val="1"/>
      <w:marLeft w:val="0"/>
      <w:marRight w:val="0"/>
      <w:marTop w:val="0"/>
      <w:marBottom w:val="0"/>
      <w:divBdr>
        <w:top w:val="none" w:sz="0" w:space="0" w:color="auto"/>
        <w:left w:val="none" w:sz="0" w:space="0" w:color="auto"/>
        <w:bottom w:val="none" w:sz="0" w:space="0" w:color="auto"/>
        <w:right w:val="none" w:sz="0" w:space="0" w:color="auto"/>
      </w:divBdr>
    </w:div>
    <w:div w:id="1109004790">
      <w:bodyDiv w:val="1"/>
      <w:marLeft w:val="0"/>
      <w:marRight w:val="0"/>
      <w:marTop w:val="0"/>
      <w:marBottom w:val="0"/>
      <w:divBdr>
        <w:top w:val="none" w:sz="0" w:space="0" w:color="auto"/>
        <w:left w:val="none" w:sz="0" w:space="0" w:color="auto"/>
        <w:bottom w:val="none" w:sz="0" w:space="0" w:color="auto"/>
        <w:right w:val="none" w:sz="0" w:space="0" w:color="auto"/>
      </w:divBdr>
    </w:div>
    <w:div w:id="1201750326">
      <w:bodyDiv w:val="1"/>
      <w:marLeft w:val="0"/>
      <w:marRight w:val="0"/>
      <w:marTop w:val="0"/>
      <w:marBottom w:val="0"/>
      <w:divBdr>
        <w:top w:val="none" w:sz="0" w:space="0" w:color="auto"/>
        <w:left w:val="none" w:sz="0" w:space="0" w:color="auto"/>
        <w:bottom w:val="none" w:sz="0" w:space="0" w:color="auto"/>
        <w:right w:val="none" w:sz="0" w:space="0" w:color="auto"/>
      </w:divBdr>
    </w:div>
    <w:div w:id="1456027291">
      <w:bodyDiv w:val="1"/>
      <w:marLeft w:val="0"/>
      <w:marRight w:val="0"/>
      <w:marTop w:val="0"/>
      <w:marBottom w:val="0"/>
      <w:divBdr>
        <w:top w:val="none" w:sz="0" w:space="0" w:color="auto"/>
        <w:left w:val="none" w:sz="0" w:space="0" w:color="auto"/>
        <w:bottom w:val="none" w:sz="0" w:space="0" w:color="auto"/>
        <w:right w:val="none" w:sz="0" w:space="0" w:color="auto"/>
      </w:divBdr>
    </w:div>
    <w:div w:id="1497645074">
      <w:bodyDiv w:val="1"/>
      <w:marLeft w:val="0"/>
      <w:marRight w:val="0"/>
      <w:marTop w:val="0"/>
      <w:marBottom w:val="0"/>
      <w:divBdr>
        <w:top w:val="none" w:sz="0" w:space="0" w:color="auto"/>
        <w:left w:val="none" w:sz="0" w:space="0" w:color="auto"/>
        <w:bottom w:val="none" w:sz="0" w:space="0" w:color="auto"/>
        <w:right w:val="none" w:sz="0" w:space="0" w:color="auto"/>
      </w:divBdr>
    </w:div>
    <w:div w:id="1698458510">
      <w:bodyDiv w:val="1"/>
      <w:marLeft w:val="0"/>
      <w:marRight w:val="0"/>
      <w:marTop w:val="0"/>
      <w:marBottom w:val="0"/>
      <w:divBdr>
        <w:top w:val="none" w:sz="0" w:space="0" w:color="auto"/>
        <w:left w:val="none" w:sz="0" w:space="0" w:color="auto"/>
        <w:bottom w:val="none" w:sz="0" w:space="0" w:color="auto"/>
        <w:right w:val="none" w:sz="0" w:space="0" w:color="auto"/>
      </w:divBdr>
    </w:div>
    <w:div w:id="1713111968">
      <w:bodyDiv w:val="1"/>
      <w:marLeft w:val="0"/>
      <w:marRight w:val="0"/>
      <w:marTop w:val="0"/>
      <w:marBottom w:val="0"/>
      <w:divBdr>
        <w:top w:val="none" w:sz="0" w:space="0" w:color="auto"/>
        <w:left w:val="none" w:sz="0" w:space="0" w:color="auto"/>
        <w:bottom w:val="none" w:sz="0" w:space="0" w:color="auto"/>
        <w:right w:val="none" w:sz="0" w:space="0" w:color="auto"/>
      </w:divBdr>
    </w:div>
    <w:div w:id="1871915169">
      <w:bodyDiv w:val="1"/>
      <w:marLeft w:val="0"/>
      <w:marRight w:val="0"/>
      <w:marTop w:val="0"/>
      <w:marBottom w:val="0"/>
      <w:divBdr>
        <w:top w:val="none" w:sz="0" w:space="0" w:color="auto"/>
        <w:left w:val="none" w:sz="0" w:space="0" w:color="auto"/>
        <w:bottom w:val="none" w:sz="0" w:space="0" w:color="auto"/>
        <w:right w:val="none" w:sz="0" w:space="0" w:color="auto"/>
      </w:divBdr>
    </w:div>
    <w:div w:id="1906988672">
      <w:bodyDiv w:val="1"/>
      <w:marLeft w:val="0"/>
      <w:marRight w:val="0"/>
      <w:marTop w:val="0"/>
      <w:marBottom w:val="0"/>
      <w:divBdr>
        <w:top w:val="none" w:sz="0" w:space="0" w:color="auto"/>
        <w:left w:val="none" w:sz="0" w:space="0" w:color="auto"/>
        <w:bottom w:val="none" w:sz="0" w:space="0" w:color="auto"/>
        <w:right w:val="none" w:sz="0" w:space="0" w:color="auto"/>
      </w:divBdr>
    </w:div>
    <w:div w:id="206479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3249-EB62-4200-B944-9907F270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4</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Outcome Agreement Evaluation Report 2018/19</dc:title>
  <dc:subject/>
  <dc:creator>Roddy Henry</dc:creator>
  <cp:keywords/>
  <dc:description/>
  <cp:lastModifiedBy>Ann Neilson</cp:lastModifiedBy>
  <cp:revision>25</cp:revision>
  <cp:lastPrinted>2018-11-02T11:25:00Z</cp:lastPrinted>
  <dcterms:created xsi:type="dcterms:W3CDTF">2019-10-25T14:58:00Z</dcterms:created>
  <dcterms:modified xsi:type="dcterms:W3CDTF">2019-11-01T12:19:00Z</dcterms:modified>
</cp:coreProperties>
</file>